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sz w:val="44"/>
          <w:szCs w:val="44"/>
          <w:lang w:val="en-US" w:eastAsia="zh-CN"/>
        </w:rPr>
      </w:pPr>
      <w:r>
        <w:rPr>
          <w:rFonts w:hint="eastAsia" w:ascii="黑体" w:hAnsi="黑体" w:eastAsia="黑体" w:cs="黑体"/>
          <w:b w:val="0"/>
          <w:sz w:val="32"/>
          <w:szCs w:val="32"/>
          <w:lang w:val="en-US" w:eastAsia="zh-CN"/>
        </w:rPr>
        <w:t>附件4</w:t>
      </w:r>
    </w:p>
    <w:p>
      <w:pPr>
        <w:jc w:val="center"/>
        <w:rPr>
          <w:rFonts w:hint="eastAsia" w:ascii="方正小标宋简体" w:hAnsi="方正小标宋简体" w:eastAsia="方正小标宋简体" w:cs="方正小标宋简体"/>
          <w:b w:val="0"/>
          <w:sz w:val="44"/>
          <w:szCs w:val="44"/>
          <w:lang w:val="en-US" w:eastAsia="zh-CN"/>
        </w:rPr>
      </w:pPr>
      <w:r>
        <w:rPr>
          <w:rFonts w:hint="eastAsia" w:ascii="方正小标宋简体" w:hAnsi="方正小标宋简体" w:eastAsia="方正小标宋简体" w:cs="方正小标宋简体"/>
          <w:b w:val="0"/>
          <w:sz w:val="44"/>
          <w:szCs w:val="44"/>
          <w:lang w:val="en-US" w:eastAsia="zh-CN"/>
        </w:rPr>
        <w:t>2023年自治区安全生产执法检查重点事项指导目录（非煤矿山企业）</w:t>
      </w:r>
    </w:p>
    <w:tbl>
      <w:tblPr>
        <w:tblStyle w:val="5"/>
        <w:tblW w:w="13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5"/>
        <w:gridCol w:w="3"/>
        <w:gridCol w:w="910"/>
        <w:gridCol w:w="394"/>
        <w:gridCol w:w="595"/>
        <w:gridCol w:w="3449"/>
        <w:gridCol w:w="3234"/>
        <w:gridCol w:w="22"/>
        <w:gridCol w:w="2932"/>
        <w:gridCol w:w="1724"/>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93" w:hRule="atLeast"/>
          <w:tblHeader/>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执法检查重点事项内容</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检查依据</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有关规范性文件及标准要求</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处罚依据</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585" w:hRule="atLeast"/>
        </w:trPr>
        <w:tc>
          <w:tcPr>
            <w:tcW w:w="139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金属非金属地下矿山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189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1.1安全生产许可证取得</w:t>
            </w:r>
          </w:p>
        </w:tc>
        <w:tc>
          <w:tcPr>
            <w:tcW w:w="344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《安全生产许可证条例》第二条  国家对矿山企业、建筑施工企业和危险化学品、烟花爆竹、民用爆炸物品生产企业（以下统称企业）实行安全生产许可制度。</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企业未取得安全生产许可证的，不得从事生产活动。</w:t>
            </w:r>
          </w:p>
        </w:tc>
        <w:tc>
          <w:tcPr>
            <w:tcW w:w="325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tc>
        <w:tc>
          <w:tcPr>
            <w:tcW w:w="172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144"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16"/>
                <w:szCs w:val="16"/>
                <w:u w:val="none"/>
                <w:lang w:val="en-US" w:eastAsia="zh-CN" w:bidi="ar"/>
              </w:rPr>
            </w:pP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1.2 安全生产许可证延期</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《安全生产许可证条例》第九条  安全生产许可证的有效期为3年。安全生产许可证有效期满需要延期的，企业应当于期满前3个月向原安全生产许可证颁发管理机关办理延期手续。</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79"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1.3 安全生产许可证变更</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《非煤矿矿山企业安全生产许可证实施办法》(国家安全生产监督管理总局令第20号)第二十一条  非煤矿矿山企业在安全生产许可证有效期内有下列情形之一的，应当自工商营业执照变更之日起30个工作日内向原安全生产许可证颁发管理机关申请变更安全生产许可证：</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（一）变更单位名称的；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（二）变更主要负责人的；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（三）变更单位地址的；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（四）变更经济类型的；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（五）变更许可范围的。</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《非煤矿矿山企业安全生产许可证实施办法》(国家安全生产监督管理总局令第20号)第四十四条  非煤矿矿山企业在安全生产许可证有效期内，出现需要变更安全生产许可证的情形，未按本实施办法第二十一条的规定申请、办理变更手续的，责令限期办理变更手续，并处1万元以上3万元以下罚款。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745"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1.4因采矿许可证到期及被暂扣、撤销、吊销和注销等交回安全生产许可证</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《非煤矿矿山企业安全生产许可证条例实施办法》(国家安全生产监督管理总局令第20号)第二十八条  非煤矿矿山企业发现在安全生产许可证有效期内采矿许可证到期失效的，应当在采矿许可证到期前15日内向原安全生产许可证颁发管理机关报告，并交回安全生产许可证正本和副本。</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采矿许可证被暂扣、撤销、吊销和注销的，非煤矿矿山企业应当在暂扣、撤销、吊销和注销后5日内向原安全生产许可证颁发管理机关报告，并交回安全生产许可证正本和副本。</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《非煤矿矿山企业安全生产许可证条例实施办法》(国家安全生产监督管理总局令第20号)第四十三条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169"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1.5 转让、冒用安全生产许可证或者使用伪造的安全生产许可证</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《安全生产许可证条例》第十三条  企业不得转让、冒用安全生产许可证或者使用伪造的安全生产许可证。</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冒用安全生产许可证或者使用伪造的安全生产许可证的，依照本条例第十九条的规定处罚。</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8185"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基本图纸及与实际符合情况</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未保存基本图纸或图实不符</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    ……</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《金属非金属矿山安全规程》（GB16423-2020）4.1.10地下矿山应保存下列图纸，并根据实际情况的变化及时更新：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———矿区地形地质图、水文地质图（含平面和剖面）；</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———开拓系统图；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———中段平面图；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———通风系统图；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———井上、井下对排照图；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———压风、供水、排水系统图；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———通信系统图；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———供配电系统图；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———井下避灾路线图；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———相邻采区或矿山本矿山空间位置关系图。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图中应正确标记：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———已掘进巷道和计划掘进巷道的位置、名称、规格；</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———采空区和已充填采空区、废弃井巷和设计开采的采位的位置、名称与尺寸；</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———通风、防尘、防火、防水、排水等主要设备和设施的位置；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———风流方向，人员安全撤离的路线和安全出口；</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———井下通信设备位置；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———采空区及废弃井巷的处理方式、进度、现状及地表塌陷区的位置。</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按设计执行。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采掘系统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3.1 矿井的安全出口</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《金属非金属矿山安全规程》（GB16423-2020）6.1.1.1矿井的安全出口应符合下列规定：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———每个矿井至少应有两个相互独立、间距不小于30ｍ、直达地面的安全出口；矿体一翼走向长度超过1000ｍ时，此翼应有安全出口；</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———每个生产水平或中段至少应有两个便于行人的安全出口，并应同通往地面的安全出口相通；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———井巷的分道口应有路标，注明其所在地点及通往地面出口的方向；</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———安全出口应定期检查，保证其处于良好状态。</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169"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3.2 出入井管理</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《金属非金属矿山安全规程》（GB16423-2020）4.7.8地下矿山企业应建立健全下井人员出入矿井登记和检查制度。入井人员应随身携带符合安全要求的照明灯具和自救器。</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《安全生产违法行为行政处罚办法》第四十五条  生产经营单位及其主要负责人或者其他人员有下列行为之一的，给予警告，并可以对生产经营单位处1万元以上3万元以下罚款，对其主要负责人、其他有关人员处1千元以上1万元以下的罚款：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（一）违法操作规程或者安全管理规定作业的；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25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3.3 顶板分级管理制度或管控措施</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《金属非金属矿山安全规程》（GB16423-2020）6.3.1.12应建立采场顶板分级管理制度。对顶板不稳固的采场，应有监控手段和处理措施。</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456"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3.4 按设计要求对不稳固岩层采掘支护</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《金属非金属矿山安全规程》（GB16423-2020）6.3.1.12  人员需要进入的采场作业面的顶板和侧面应保持稳定，矿岩不稳固时应采取支护措施。因爆破或其他原因而破坏的支护应及时修复，确认安全后方准作业。</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5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3.5 地压管理</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《金属非金属矿山安全规程》（GB16423-2020）6.3.1.14工程地质复杂、有严重地压活动的矿山，应遵守下列规定：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———设立专门机构或专职人员负责地压管理工作，做好现场监测和预测、预报工作；</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216"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3.6生产作业区采空区处理</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《金属非金属矿山安全规程》（GB16423-2020）6.3.1.15采用空场法采矿的矿山，应采取充填、隔离或强制崩落围岩的措施，及时处理采空区。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3.7保安矿柱</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《金属非金属矿山安全规程》（GB16423-2020）6.3.1.6应严格保持矿柱（含顶柱、底柱和间柱等）的尺寸、形状和直立度；应有专人检查和管理，确保矿柱的稳定性。</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576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3.8禁止使用空场法采矿（无底柱采矿法）采场内人工装运作业、横撑支柱采矿法</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生产经营单位不得使用应当淘汰的危及生产安全的工艺、设备。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《国家安全监管总局关于发布金属非金属矿山禁止使用的设备及工艺目录（第一批）的通知》（安监总管一〔2013〕101号）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18．空场法采矿（无底柱采矿法）采场内人工装运作业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19．横撑支柱采矿法</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（七）使用应当淘汰的危及生产安全的工艺、设备的；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68"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3.9禁止使用集中铲装作业时人工装卸矿岩、未安装捕尘装置的干式凿岩作业、主要无轨运输巷道采用人力或畜力运输矿岩</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生产经营单位不得使用应当淘汰的危及生产安全的工艺、设备。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《国家安全监管总局关于发布金属非金属矿山禁止使用的设备及工艺目录（第二批）的通知》（安监总管一〔2015〕13号）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5. 集中铲装作业时人工装卸矿岩；</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6．未安装捕尘装置的干式凿岩作业；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7．主要无轨运输巷道及露天采场采用人力或畜力运输矿岩</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（七）使用应当淘汰的危及生产安全的工艺、设备的；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74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3.10发包单位与外包单位安全生产管理协议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《中华人民共和国安全生产法》第四十九条　生产经营单位不得将生产经营项目、场所、设备发包或者出租给不具备安全生产条件或者相应资质的单位或者个人。</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1101"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提升系统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4.1过卷保护装置及防坠装置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 xml:space="preserve">《中华人民共和国安全生产法》第三十六条  安全设备的设计、制造、安装、使用、检测、维修、改造和报废，应当符合国家标准或者行业标准。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0"/>
                <w:szCs w:val="20"/>
                <w:u w:val="none"/>
                <w:lang w:val="en-US" w:eastAsia="zh-CN" w:bidi="ar"/>
              </w:rPr>
              <w:t>《金属非金属矿山安全规程》（GB16423-2020）6.4.4.16竖井提升系统应符合下列规定：</w:t>
            </w:r>
            <w:r>
              <w:rPr>
                <w:rFonts w:hint="eastAsia" w:ascii="仿宋_GB2312" w:hAnsi="等线" w:eastAsia="仿宋_GB2312" w:cs="仿宋_GB2312"/>
                <w:i w:val="0"/>
                <w:color w:val="000000"/>
                <w:kern w:val="0"/>
                <w:sz w:val="20"/>
                <w:szCs w:val="20"/>
                <w:u w:val="none"/>
                <w:lang w:val="en-US" w:eastAsia="zh-CN" w:bidi="ar"/>
              </w:rPr>
              <w:br w:type="textWrapping"/>
            </w:r>
            <w:r>
              <w:rPr>
                <w:rFonts w:hint="eastAsia" w:ascii="仿宋_GB2312" w:hAnsi="等线" w:eastAsia="仿宋_GB2312" w:cs="仿宋_GB2312"/>
                <w:i w:val="0"/>
                <w:color w:val="000000"/>
                <w:kern w:val="0"/>
                <w:sz w:val="20"/>
                <w:szCs w:val="20"/>
                <w:u w:val="none"/>
                <w:lang w:val="en-US" w:eastAsia="zh-CN" w:bidi="ar"/>
              </w:rPr>
              <w:t>———过卷段应设过卷缓冲装置或者楔形罐道，使过卷容器能够平稳地在过卷段内停住；</w:t>
            </w:r>
            <w:r>
              <w:rPr>
                <w:rFonts w:hint="eastAsia" w:ascii="仿宋_GB2312" w:hAnsi="等线" w:eastAsia="仿宋_GB2312" w:cs="仿宋_GB2312"/>
                <w:i w:val="0"/>
                <w:color w:val="000000"/>
                <w:kern w:val="0"/>
                <w:sz w:val="20"/>
                <w:szCs w:val="20"/>
                <w:u w:val="none"/>
                <w:lang w:val="en-US" w:eastAsia="zh-CN" w:bidi="ar"/>
              </w:rPr>
              <w:br w:type="textWrapping"/>
            </w:r>
            <w:r>
              <w:rPr>
                <w:rFonts w:hint="eastAsia" w:ascii="仿宋_GB2312" w:hAnsi="等线" w:eastAsia="仿宋_GB2312" w:cs="仿宋_GB2312"/>
                <w:i w:val="0"/>
                <w:color w:val="000000"/>
                <w:kern w:val="0"/>
                <w:sz w:val="20"/>
                <w:szCs w:val="20"/>
                <w:u w:val="none"/>
                <w:lang w:val="en-US" w:eastAsia="zh-CN" w:bidi="ar"/>
              </w:rPr>
              <w:t>深度大于800ｍ的竖井应设过卷缓冲装置，使过卷容器在缓冲装置内平稳停住，并不再反向下滑或反弹；</w:t>
            </w:r>
            <w:r>
              <w:rPr>
                <w:rFonts w:hint="eastAsia" w:ascii="仿宋_GB2312" w:hAnsi="等线" w:eastAsia="仿宋_GB2312" w:cs="仿宋_GB2312"/>
                <w:i w:val="0"/>
                <w:color w:val="000000"/>
                <w:kern w:val="0"/>
                <w:sz w:val="20"/>
                <w:szCs w:val="20"/>
                <w:u w:val="none"/>
                <w:lang w:val="en-US" w:eastAsia="zh-CN" w:bidi="ar"/>
              </w:rPr>
              <w:br w:type="textWrapping"/>
            </w:r>
            <w:r>
              <w:rPr>
                <w:rFonts w:hint="eastAsia" w:ascii="仿宋_GB2312" w:hAnsi="等线" w:eastAsia="仿宋_GB2312" w:cs="仿宋_GB2312"/>
                <w:i w:val="0"/>
                <w:color w:val="000000"/>
                <w:kern w:val="0"/>
                <w:sz w:val="20"/>
                <w:szCs w:val="20"/>
                <w:u w:val="none"/>
                <w:lang w:val="en-US" w:eastAsia="zh-CN" w:bidi="ar"/>
              </w:rPr>
              <w:t>———楔形罐道的楔形部分的斜度为1％；包括较宽部分的直线段在内的长度不小于过卷段高度的2/3；摩擦式提升系统的下行容器应比上行容器提前接触楔形罐道，提前距离不小于1ｍ。</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（二）安全设备的安装、使用、检测、改造和报废不符合国家标准或者行业标准的；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5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4.2提升系统的保护和闭锁连锁装置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 xml:space="preserve">《中华人民共和国安全生产法》第三十六条  安全设备的设计、制造、安装、使用、检测、改造和报废，应当符合国家标准或者行业标准。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《金属非金属矿山安全规程》（GB16423-2020）6.4.4.20主要提升矿、废石的罐笼提升系统应符合下列规定：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———井口和井下各中段马头门应设自动安全门，并与提升机连锁；</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———井口和井下各中段马头门应设摇台；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———采用钢丝绳罐道时，井下各中段应设稳罐装置；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———摇台和稳罐装置应与提升机闭锁。</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（二）安全设备的安装、使用、检测、改造和报废不符合国家标准或者行业标准的；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352"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4.3提升设备定期维保及检测</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 xml:space="preserve">《中华人民共和国安全生产法》第三十六条  安全设备的设计、制造、安装、使用、检测、改造和报废，应当符合国家标准或者行业标准。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0"/>
                <w:szCs w:val="20"/>
                <w:u w:val="none"/>
                <w:lang w:val="en-US" w:eastAsia="zh-CN" w:bidi="ar"/>
              </w:rPr>
              <w:t>《金属非金属矿山安全规程》（GB16423-2020）6.4.4.29竖井提升系统应按照下列要求进行检查，发现问题立即处理，并将检查和处理结果记录存档：</w:t>
            </w:r>
            <w:r>
              <w:rPr>
                <w:rFonts w:hint="eastAsia" w:ascii="仿宋_GB2312" w:hAnsi="等线" w:eastAsia="仿宋_GB2312" w:cs="仿宋_GB2312"/>
                <w:i w:val="0"/>
                <w:color w:val="000000"/>
                <w:kern w:val="0"/>
                <w:sz w:val="20"/>
                <w:szCs w:val="20"/>
                <w:u w:val="none"/>
                <w:lang w:val="en-US" w:eastAsia="zh-CN" w:bidi="ar"/>
              </w:rPr>
              <w:br w:type="textWrapping"/>
            </w:r>
            <w:r>
              <w:rPr>
                <w:rFonts w:hint="eastAsia" w:ascii="仿宋_GB2312" w:hAnsi="等线" w:eastAsia="仿宋_GB2312" w:cs="仿宋_GB2312"/>
                <w:i w:val="0"/>
                <w:color w:val="000000"/>
                <w:kern w:val="0"/>
                <w:sz w:val="20"/>
                <w:szCs w:val="20"/>
                <w:u w:val="none"/>
                <w:lang w:val="en-US" w:eastAsia="zh-CN" w:bidi="ar"/>
              </w:rPr>
              <w:t>———提升系统的钢丝绳、悬挂装置、提升容器、防坠器等，每天由专人检查1次，每月由矿机电部门组织检查1次；</w:t>
            </w:r>
            <w:r>
              <w:rPr>
                <w:rFonts w:hint="eastAsia" w:ascii="仿宋_GB2312" w:hAnsi="等线" w:eastAsia="仿宋_GB2312" w:cs="仿宋_GB2312"/>
                <w:i w:val="0"/>
                <w:color w:val="000000"/>
                <w:kern w:val="0"/>
                <w:sz w:val="20"/>
                <w:szCs w:val="20"/>
                <w:u w:val="none"/>
                <w:lang w:val="en-US" w:eastAsia="zh-CN" w:bidi="ar"/>
              </w:rPr>
              <w:br w:type="textWrapping"/>
            </w:r>
            <w:r>
              <w:rPr>
                <w:rFonts w:hint="eastAsia" w:ascii="仿宋_GB2312" w:hAnsi="等线" w:eastAsia="仿宋_GB2312" w:cs="仿宋_GB2312"/>
                <w:i w:val="0"/>
                <w:color w:val="000000"/>
                <w:kern w:val="0"/>
                <w:sz w:val="20"/>
                <w:szCs w:val="20"/>
                <w:u w:val="none"/>
                <w:lang w:val="en-US" w:eastAsia="zh-CN" w:bidi="ar"/>
              </w:rPr>
              <w:t>———提升机的卷筒或摩擦轮、制动装置、调绳装置、传动装置、电动机和控制设备以及各种保护装置和闭锁装置等，每天由专人检查1次，每月由矿机电部门组织检查1次；</w:t>
            </w:r>
            <w:r>
              <w:rPr>
                <w:rFonts w:hint="eastAsia" w:ascii="仿宋_GB2312" w:hAnsi="等线" w:eastAsia="仿宋_GB2312" w:cs="仿宋_GB2312"/>
                <w:i w:val="0"/>
                <w:color w:val="000000"/>
                <w:kern w:val="0"/>
                <w:sz w:val="20"/>
                <w:szCs w:val="20"/>
                <w:u w:val="none"/>
                <w:lang w:val="en-US" w:eastAsia="zh-CN" w:bidi="ar"/>
              </w:rPr>
              <w:br w:type="textWrapping"/>
            </w:r>
            <w:r>
              <w:rPr>
                <w:rFonts w:hint="eastAsia" w:ascii="仿宋_GB2312" w:hAnsi="等线" w:eastAsia="仿宋_GB2312" w:cs="仿宋_GB2312"/>
                <w:i w:val="0"/>
                <w:color w:val="000000"/>
                <w:kern w:val="0"/>
                <w:sz w:val="20"/>
                <w:szCs w:val="20"/>
                <w:u w:val="none"/>
                <w:lang w:val="en-US" w:eastAsia="zh-CN" w:bidi="ar"/>
              </w:rPr>
              <w:t>———提升容器的防坠器、连接装置、保险链、罐门、导向槽、罐体、罐内阻车器等，每天由专人检查1次，每月由矿机电部门组织检查1次；</w:t>
            </w:r>
            <w:r>
              <w:rPr>
                <w:rFonts w:hint="eastAsia" w:ascii="仿宋_GB2312" w:hAnsi="等线" w:eastAsia="仿宋_GB2312" w:cs="仿宋_GB2312"/>
                <w:i w:val="0"/>
                <w:color w:val="000000"/>
                <w:kern w:val="0"/>
                <w:sz w:val="20"/>
                <w:szCs w:val="20"/>
                <w:u w:val="none"/>
                <w:lang w:val="en-US" w:eastAsia="zh-CN" w:bidi="ar"/>
              </w:rPr>
              <w:br w:type="textWrapping"/>
            </w:r>
            <w:r>
              <w:rPr>
                <w:rFonts w:hint="eastAsia" w:ascii="仿宋_GB2312" w:hAnsi="等线" w:eastAsia="仿宋_GB2312" w:cs="仿宋_GB2312"/>
                <w:i w:val="0"/>
                <w:color w:val="000000"/>
                <w:kern w:val="0"/>
                <w:sz w:val="20"/>
                <w:szCs w:val="20"/>
                <w:u w:val="none"/>
                <w:lang w:val="en-US" w:eastAsia="zh-CN" w:bidi="ar"/>
              </w:rPr>
              <w:t>———天轮、导向轮、过卷缓冲装置、罐道、尾绳隔离装置、安全门、摇台、阻车器、装卸矿设施等，每月由专人检查1次；</w:t>
            </w:r>
            <w:r>
              <w:rPr>
                <w:rFonts w:hint="eastAsia" w:ascii="仿宋_GB2312" w:hAnsi="等线" w:eastAsia="仿宋_GB2312" w:cs="仿宋_GB2312"/>
                <w:i w:val="0"/>
                <w:color w:val="000000"/>
                <w:kern w:val="0"/>
                <w:sz w:val="20"/>
                <w:szCs w:val="20"/>
                <w:u w:val="none"/>
                <w:lang w:val="en-US" w:eastAsia="zh-CN" w:bidi="ar"/>
              </w:rPr>
              <w:br w:type="textWrapping"/>
            </w:r>
            <w:r>
              <w:rPr>
                <w:rFonts w:hint="eastAsia" w:ascii="仿宋_GB2312" w:hAnsi="等线" w:eastAsia="仿宋_GB2312" w:cs="仿宋_GB2312"/>
                <w:i w:val="0"/>
                <w:color w:val="000000"/>
                <w:kern w:val="0"/>
                <w:sz w:val="20"/>
                <w:szCs w:val="20"/>
                <w:u w:val="none"/>
                <w:lang w:val="en-US" w:eastAsia="zh-CN" w:bidi="ar"/>
              </w:rPr>
              <w:t>———新安装或大修后的单绳罐笼防坠器应进行脱钩试验，合格后方可使用；在用防坠器每半年进行1次不脱钩试验；每年进行1次脱钩试验；防坠器的抓捕器断面减少20％或者导向套衬瓦一侧磨损超过3ｍｍ时应更换。</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（二）安全设备的安装、使用、检测、改造和报废不符合国家标准或者行业标准的；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81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4.4禁止使用非定型竖井罐笼、Φ1.2米以下（不含Φ1.2米）用于升降人员的提升绞车、KJ型矿井提升机、JKA型矿井提升机、XKT型矿井提升机、带式制动矿用提升绞车、TKD型提升机电控装置及使用继电器结构原理的提升机电控装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生产经营单位不得使用应当淘汰的危及生产安全的工艺、设备。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《国家安全监管总局关于发布金属非金属矿山禁止使用的设备及工艺目录（第一批）的通知》（安监总管一〔2013〕101号）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1．非定型竖井罐笼（自发布之日起一年后禁止使用）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2．Φ1.2米以下（不含Φ1.2米）用于升降人员的提升绞车（自发布之日起一年后禁止使用）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3．KJ型矿井提升机（自发布之日起一年后禁止使用）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4．JKA型矿井提升机（自发布之日起一年后禁止使用）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5．XKT型矿井提升机（自发布之日起一年后禁止使用）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6．JTK型矿用提升绞车（自发布之日起一年半后禁止用于主提升）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7．带式制动矿用提升绞车（自发布之日起立即禁止用于主提升）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国家安全监管总局关于发布金属非金属矿山禁止使用的设备及工艺目录（第二批）的通知（安监总管一〔2015〕13号）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9．TKD型提升机电控装置及使用继电器结构原理的提升机电控装置（金属非金属地下矿山自发布之日起一年后禁止使用）。</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205"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通风系统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5.1 机械通风系统</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w:t>
            </w:r>
            <w:bookmarkStart w:id="0" w:name="_GoBack"/>
            <w:bookmarkEnd w:id="0"/>
            <w:r>
              <w:rPr>
                <w:rFonts w:hint="eastAsia" w:ascii="仿宋_GB2312" w:hAnsi="等线" w:eastAsia="仿宋_GB2312" w:cs="仿宋_GB2312"/>
                <w:i w:val="0"/>
                <w:color w:val="000000"/>
                <w:kern w:val="0"/>
                <w:sz w:val="22"/>
                <w:szCs w:val="22"/>
                <w:u w:val="none"/>
                <w:lang w:val="en-US" w:eastAsia="zh-CN" w:bidi="ar"/>
              </w:rPr>
              <w:t xml:space="preserve">  生产经营单位应当建立健全生产安全事故隐患排查治理制度，采取技术、管理措施，及时发现并消除事故隐患。事故隐患排查治理情况应当如实记录，并向从业人员通报。</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6.6.2.1地下矿山应采用机械通风。设有在线监测系统的矿山应根据监测结果及时调整通风系统；未设置在线监测系统的矿山每年应对通风系统进行1次检测，并根据检测结果及时调整通风系统。矿山应及时更新通风系统图。通风系统图应标明通风设备、风量、风流方向、通风构筑物、与通风系统隔离的区域等。</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5.2 主通风机及运行</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 xml:space="preserve">《中华人民共和国安全生产法》第三十三条  安全设备的设计、制造、安装、使用、检测、改造和报废，应当符合国家标准或者行业标准。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6.6.3.1正常生产情况下主通风机应连续运转，满足井下生产所需风量。当主通风机发生故障或需要停机检查时，应立即向调度室和矿山企业主要负责人报告，并采取必要措施。</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（二）安全设备的安装、使用、检测、改造和报废不符合国家标准或者行业标准的；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5.3 局部通风设备</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 xml:space="preserve">《中华人民共和国安全生产法》第三十三条  安全设备的设计、制造、安装、使用、检测、改造和报废，应当符合国家标准或者行业标准。 </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《金属非金属矿山安全规程》（GB16423-2020）6.4.4.1掘进工作面和通风不良的采场，应安装局部通风设备。局扇应有完善的保护装置。</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（二）安全设备的安装、使用、检测、改造和报废不符合国家标准或者行业标准的；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5.4 主通风机房的监控仪表设置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《中华人民共和国安全生产法》第三十六条　安全设备的设计、制造、安装、使用、检测、维修、改造和报废，应当符合国家标准或者行业标准。</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6.6.3.4主通风机房应设有测量风压、风量、电流、电压和轴承温度等的仪表。每班都应对通风机运转情况进行检查，并有运转记录。采用自动控制的主通风机，每两周应进行1次自控系统的检查。</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（二）安全设备的安装、使用、检测、改造和报废不符合国家标准或者行业标准的；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53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5.5 便携式气体检测报警仪和自救器配备</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《中华人民共和国安全生产法》第三十六条　安全设备的设计、制造、安装、使用、检测、维修、改造和报废，应当符合国家标准或者行业标准。</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《金属非金属地下矿山监测监控系统建设规范》（AQ2031-2011）5.1  地下矿山应配置足够的便携式气体检测报警仪。便携式气体检测报警仪应能测量一氧化碳、氧气、二氧化氮浓度，并具有报警参数设置和声光报警功能。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《金属非金属地下矿山紧急避险系统建设规范》（AQ2033-2011）4.4  应为入井人员配备额定防护时间不少于30min的自救器，并按入井总人数的10%配备备用自救器。</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（二）安全设备的安装、使用、检测、改造和报废不符合国家标准或者行业标准的；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2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5.6 禁止使用ZH15隔绝式化学氧自救器和一氧化碳过滤式自救器</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生产经营单位不得使用应当淘汰的危及生产安全的工艺、设备。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《国家安全监管总局关于发布金属非金属矿山禁止使用的设备及工艺目录（第一批）的通知》（安监总管一〔2013〕101号）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16．ZH15隔绝式化学氧自救器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17．一氧化碳过滤式自救器</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4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5.7 禁止使用非矿用局部通风机</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生产经营单位不得使用应当淘汰的危及生产安全的工艺、设备。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《国家安全监管总局关于发布金属非金属矿山禁止使用的设备及工艺目录（第一批）的通知》（安监总管一〔2013〕101号）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13．非矿用局部通风机</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089"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6</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防灭火系统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6.1 动火作业管理</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国家矿山安全监察局关于印发《金属非金属矿山重大事故隐患判定标准》的通知（矿安〔2022〕88号）（二十九）井下或者井口动火作业未按国家规定落实审批制度或者安全措施。</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第6.9.1.19矿山应建立动火制度，在井下和井口建筑物内进行焊接等明火作业，应制定防火措施，经矿山企业主要负责人批准后方可动火。在井筒内进行焊接时应派专人监护；在作业部位的下方应设置收集焊渣的设施；焊接完毕应严格检查清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（一）违反操作规程或者安全管理规定作业的；</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    ……</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81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6.2禁止使用油断路器、非阻燃电缆（含强、弱电）、非阻燃风筒、非阻燃输送带、主要井巷木支护、火雷管、导火索</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生产经营单位不得使用应当淘汰的危及生产安全的工艺、设备。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《国家安全监管总局关于发布金属非金属矿山禁止使用的设备及工艺目录（第一批）的通知》（安监总管一〔2013〕101号）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9．油断路器（自发布之日起立即禁止使用）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10．非阻燃电缆（含强、弱电）（自发布之日起一年后禁止使用）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11．非阻燃风筒（自发布之日起半年后禁止使用）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12．非阻燃输送带（自发布之日起一年后禁止使用）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14．主要井巷木支护（新掘、维修井巷自发布之日起立即禁止使用）</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15．火雷管、导火索（自发布之日起立即禁止使用）</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5292"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防排水系统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探放水作业管理及水文地质类型为中等及复杂的矿井没有设立专门防治水机构、配备探放水作业队伍或配齐专用探放水设备</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《金属非金属矿山安全规程》（GB16423-2020）6.8.3.5对接近水体的地带或与水体有联系的可疑地段，应坚持“有疑必探，先探后掘”的原则，编制探水设计。</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4801"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供配电系统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双回路供电</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 5.6.1.4采矿场采用双回路供电时，每回路供电能力应均能供全负荷；采用三回路供电时，每个回路的供电能力不应小于全部负荷的50％。</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336"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地表错动区域管理</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相邻矿山开采错动线重叠，未按照设计要求采取相应措施</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国家矿山安全监察局关于印发《金属非金属矿山重大事故隐患判定标准》的通知 (矿安〔2022〕88号):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（十四）相邻矿山开采岩体移动范围存在交叉重叠等相互影响时，未按设计留设保安矿（岩）柱或者采取其他措施。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《金属非金属矿山安全规程》（GB16423-2020）6.3.1.2地下开采时，应圈定岩体移动范围或岩体移动监测范围；地表主要建构筑物、主要井筒应布置在地表岩体移动范围之外，或者留保安矿柱消除其影响。</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384"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相邻矿山管理</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相邻矿山井巷互联互通</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国家矿山安全监察局关于印发《金属非金属矿山重大事故隐患判定标准》的通知 (矿安〔2022〕88号):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（三）不同矿权主体的相邻矿山井巷相互贯通，或者同一矿权主体相邻独立生产系统的井巷擅自贯通。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452" w:hRule="atLeast"/>
        </w:trPr>
        <w:tc>
          <w:tcPr>
            <w:tcW w:w="139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金属非金属露天矿山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29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开采方式情况</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分台阶开采</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《金属非金属矿山安全规程》（GB16423-2020）5.2.1.1露天开采应遵循自上而下的开采顺序，分台阶开采。</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8172"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采掘作业管理情况</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 xml:space="preserve"> 禁止使用扩壶爆破、掏底崩落、掏挖开采、不分层的“一面墙”开采、爆破方式对大块矿岩进行二次破碎、无稳压装置的中深孔凿岩设备、集中铲装作业时人工装卸矿岩、未安装捕尘装置的干式凿岩作业</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《国家安全监管总局关于发布金属非金属矿山禁止使用的设备及工艺目录（第二批）的通知》（安监总管一〔2015〕13号）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1．扩壶爆破；</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2．掏底崩落、掏挖开采、不分层的“一面墙”开采；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3．使用爆破方式对大块矿岩进行二次破碎；</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4. 无稳压装置的中深孔凿岩设备；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5. 集中铲装作业时人工装卸矿岩；</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6．未安装捕尘装置的干式凿岩作业；</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716"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运输系统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3.1 带式输送机运输</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《中华人民共和国安全生产法》第三十六条　安全设备的设计、制造、安装、使用、检测、维修、改造和报废，应当符合国家标准或者行业标准。</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《金属非金属矿山安全规程》（GB16423-2020）6.4.3.5带式输送机应有下列安全保护装置：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———装料点和卸料点设空仓、满仓等保护和报警装置，并与输送机联锁；</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———输送带清扫装置以及防大块冲击、防输送带跑偏等的保护装置；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———紧急停车装置；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———制动装置。</w:t>
            </w:r>
            <w:r>
              <w:rPr>
                <w:rFonts w:hint="eastAsia" w:ascii="仿宋_GB2312" w:hAnsi="等线" w:eastAsia="仿宋_GB2312" w:cs="仿宋_GB2312"/>
                <w:i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6.4.3.6  长度超过400ｍ的带式输送机应设下列保护装置：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———防输送带撕裂、断带等保护装置；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———防止过速、过载、打滑等的保护装置；</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———线路上的信号、电气联锁和紧急停车装置。</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（二）安全设备的安装、使用、检测、改造和报废不符合国家标准或者行业标准的；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076"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3.2主要无轨运输巷道及露天采场禁止采用人力或畜力运输矿岩</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生产经营单位不得使用应当淘汰的危及生产安全的工艺、设备。</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《国家安全监管总局关于发布金属非金属矿山禁止使用的设备及工艺目录（第二批）的通知》（安监总管一〔2015〕13号）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7．主要无轨运输巷道及露天采场采用人力或畜力运输矿岩；</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724"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边坡现场管理情况</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地下开采改为露天开采形成的采空区</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金属非金属矿山安全规程》（GB16423-2020）5.1.3地下开采转为露天开采时，应确定全部地下工程和矿柱的位置并绘制在矿山平、剖面对照图上；开采前应处理对露天开采安全有威胁的地下工程和采空区，不能处理的，应采取安全措施并在开采过程中处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6" w:hRule="atLeast"/>
        </w:trPr>
        <w:tc>
          <w:tcPr>
            <w:tcW w:w="139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黑体" w:hAnsi="黑体" w:eastAsia="黑体" w:cs="黑体"/>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尾矿库</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92"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13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坝体管理</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1.1坝面维护</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 xml:space="preserve">《尾矿库安全技术规程》(GB 39496—2020）6.3.11坝外坡面维护工作应按设计要求进行，尾矿坝下游坡面上不得有积水坑。坝体出现冲沟、裂 缝、塌坑等现象时,应及时处理。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1.2坝肩截水沟</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《尾矿库安全技术规程》(GB 39496—2020)《尾矿库安全技术规程》5.3.20尾矿堆积坝平均堆积外坡比不得陡于1 ： 3。尾矿坝最终下游坡面应设置维护设施，维护设施 应满足下列要求：</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—设置排水系统，下游坡与两岸山坡结合处应设置坝肩截水沟;尾矿堆积坝的每级马道内侧或上 游式尾矿筑坝的每级子坝下游坡脚处均应设置纵向排水沟，并应在坡面上设置人字沟或竖向 排水沟；</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9.3.6检查坝面维护设施时，应检查坝肩截水沟和坝坡排水沟断面尺寸，衬砌变形、破损、断裂和磨蚀， 沟内淤堵,沿线山坡稳定性等;应检査坝坡土石覆盖等护坡实施情况。</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1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1.3堆积坝坡比</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《尾矿库安全技术规程》(GB 39496—2020) 5.3.20尾矿堆积坝平均堆积外坡比不得陡于1 ： 3。</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01"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1.4子坝堆筑上升速度</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国家矿山安全监察局关于印发《金属非金属矿山重大事故隐患判定标准》的通知(矿安〔2022〕88号)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（五）尾矿堆积坝上升速率大于设计堆积上升速率。</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——尾矿堆积坝上升速率大于设计堆积上升速率</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2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防排洪情况</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排洪设施运行</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《尾矿库安全技术规程》(GB 39496—2020) 6.4.5尾矿库内应设置清晰醒目的水位观测标尺。汛期应加强对排洪设施检查，确保排洪设施畅通。</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1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13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安全监测</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3.1人工安全监测设施</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《尾矿设施设计规范》（GB50863-2013）（GB50863-2013）3.4.1 三等及三等以上尾矿库应设置人工监测与自动监测相结合的安全监测设施。</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85"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3.2在线监测系统安装</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《尾矿库安全监督管理规定》(原国家安全监管总局令第38号)第八条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一等、二等、三等尾矿库应当安装在线监测系统。</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《尾矿库安全技术规程》(GB 39496—2020)9.6.3监测设施维护安全检查应检查监测设施是否定期检查和维护，监测设施的可靠性和完整性，人工监测设施与在线监测设施是否定期比对和校正。</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《尾矿库安全监督管理规定》(原国家安全监管总局令第38号)第三十九条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13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放矿管理</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4.1多种矿石性质不同的尾砂混合排放</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国家矿山安全监察局关于印发《金属非金属矿山重大事故隐患判定标准》的通知(矿安〔2022〕88号)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（十一）多种矿石性质不同的尾砂混合排放时，未按设计进行排放。</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《尾矿库安全监督管理规定》(原国家安全监管总局令第38号)第十八条对生产运行的尾矿库，未经技术论证和安全生产监督管理部门的批准，任何单位和个人不得对下列事项进行变更：</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(三)尾矿物化特性；</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——多种矿石性质不同的尾砂混合排放时，未按设计要求进行排放</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4.2冰下放矿作业</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国家矿山安全监察局关于印发《金属非金属矿山重大事故隐患判定标准》的通知(矿安〔2022〕88号)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（十二）冬季未按设计要求的冰下放矿方式进行放矿作业。</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——冬季未按照设计要求采用冰下放矿作业；</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bl>
    <w:p>
      <w:pPr>
        <w:jc w:val="both"/>
        <w:rPr>
          <w:rFonts w:hint="eastAsia" w:ascii="方正小标宋简体" w:hAnsi="方正小标宋简体" w:eastAsia="方正小标宋简体" w:cs="方正小标宋简体"/>
          <w:b w:val="0"/>
          <w:sz w:val="44"/>
          <w:szCs w:val="44"/>
          <w:lang w:val="en-US" w:eastAsia="zh-CN"/>
        </w:rPr>
      </w:pPr>
    </w:p>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仿宋_GB18030">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H-SS9-PK74820001d03">
    <w:altName w:val="Times New Roman"/>
    <w:panose1 w:val="00000000000000000000"/>
    <w:charset w:val="00"/>
    <w:family w:val="roman"/>
    <w:pitch w:val="default"/>
    <w:sig w:usb0="00000000" w:usb1="00000000" w:usb2="00000000" w:usb3="00000000" w:csb0="00040001" w:csb1="00000000"/>
  </w:font>
  <w:font w:name="长城楷体">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2744D"/>
    <w:rsid w:val="064840E5"/>
    <w:rsid w:val="4CCF7BDF"/>
    <w:rsid w:val="51C2744D"/>
    <w:rsid w:val="56195A70"/>
    <w:rsid w:val="61556883"/>
    <w:rsid w:val="6E033BF8"/>
    <w:rsid w:val="7ACD3971"/>
    <w:rsid w:val="7BA3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4"/>
    <w:qFormat/>
    <w:uiPriority w:val="0"/>
    <w:rPr>
      <w:rFonts w:hint="eastAsia" w:ascii="仿宋_GB2312" w:eastAsia="仿宋_GB2312" w:cs="仿宋_GB2312"/>
      <w:color w:val="000000"/>
      <w:sz w:val="22"/>
      <w:szCs w:val="22"/>
      <w:u w:val="none"/>
    </w:rPr>
  </w:style>
  <w:style w:type="character" w:customStyle="1" w:styleId="7">
    <w:name w:val="font11"/>
    <w:basedOn w:val="4"/>
    <w:qFormat/>
    <w:uiPriority w:val="0"/>
    <w:rPr>
      <w:rFonts w:ascii="Calibri" w:hAnsi="Calibri" w:cs="Calibri"/>
      <w:color w:val="000000"/>
      <w:sz w:val="22"/>
      <w:szCs w:val="22"/>
      <w:u w:val="none"/>
    </w:rPr>
  </w:style>
  <w:style w:type="character" w:customStyle="1" w:styleId="8">
    <w:name w:val="font2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2023-05-29T10:32:00Z</dcterms:created>
  <dc:creator>仙贝</dc:creator>
  <cp:lastModifiedBy>仙贝</cp:lastModifiedBy>
  <cp:lastPrinted>2023-05-29T11:14:00Z</cp:lastPrinted>
  <dcterms:modified xsi:type="dcterms:W3CDTF">2023-05-31T11:07:17Z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