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widowControl w:val="0"/>
        <w:kinsoku/>
        <w:wordWrap/>
        <w:overflowPunct/>
        <w:topLinePunct w:val="0"/>
        <w:autoSpaceDE/>
        <w:autoSpaceDN/>
        <w:bidi w:val="0"/>
        <w:adjustRightInd/>
        <w:snapToGrid/>
        <w:spacing w:before="0" w:after="0" w:line="560" w:lineRule="exact"/>
        <w:jc w:val="left"/>
        <w:textAlignment w:val="auto"/>
        <w:rPr>
          <w:rFonts w:hint="eastAsia" w:ascii="黑体" w:hAnsi="黑体" w:eastAsia="黑体"/>
          <w:b w:val="0"/>
          <w:sz w:val="32"/>
          <w:szCs w:val="32"/>
          <w:lang w:val="en-US" w:eastAsia="zh-CN"/>
        </w:rPr>
      </w:pPr>
      <w:bookmarkStart w:id="0" w:name="_GoBack"/>
      <w:bookmarkEnd w:id="0"/>
      <w:r>
        <w:rPr>
          <w:rFonts w:hint="eastAsia" w:ascii="黑体" w:hAnsi="黑体" w:eastAsia="黑体"/>
          <w:b w:val="0"/>
          <w:sz w:val="32"/>
          <w:szCs w:val="32"/>
          <w:lang w:val="en-US" w:eastAsia="zh-CN"/>
        </w:rPr>
        <w:t>附件1</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sz w:val="44"/>
          <w:szCs w:val="44"/>
        </w:rPr>
        <w:t>安全生产监督检查综合事项</w:t>
      </w:r>
      <w:r>
        <w:rPr>
          <w:rFonts w:hint="eastAsia" w:ascii="方正小标宋简体" w:hAnsi="方正小标宋简体" w:eastAsia="方正小标宋简体" w:cs="方正小标宋简体"/>
          <w:b w:val="0"/>
          <w:sz w:val="44"/>
          <w:szCs w:val="44"/>
          <w:lang w:val="en-US" w:eastAsia="zh-CN"/>
        </w:rPr>
        <w:t>执法检查依据及法律责任指引</w:t>
      </w:r>
    </w:p>
    <w:tbl>
      <w:tblPr>
        <w:tblStyle w:val="7"/>
        <w:tblW w:w="138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862"/>
        <w:gridCol w:w="1777"/>
        <w:gridCol w:w="1863"/>
        <w:gridCol w:w="4640"/>
        <w:gridCol w:w="3918"/>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tblHeader/>
          <w:jc w:val="center"/>
        </w:trPr>
        <w:tc>
          <w:tcPr>
            <w:tcW w:w="862" w:type="dxa"/>
            <w:vAlign w:val="center"/>
          </w:tcPr>
          <w:p>
            <w:pPr>
              <w:widowControl/>
              <w:adjustRightInd w:val="0"/>
              <w:snapToGrid w:val="0"/>
              <w:jc w:val="center"/>
              <w:rPr>
                <w:rFonts w:ascii="宋体" w:hAnsi="宋体" w:cs="宋体"/>
                <w:b/>
                <w:color w:val="auto"/>
                <w:kern w:val="0"/>
                <w:szCs w:val="21"/>
              </w:rPr>
            </w:pPr>
            <w:r>
              <w:rPr>
                <w:rFonts w:hint="eastAsia" w:ascii="宋体" w:hAnsi="宋体" w:cs="宋体"/>
                <w:b/>
                <w:color w:val="auto"/>
                <w:kern w:val="0"/>
                <w:szCs w:val="21"/>
              </w:rPr>
              <w:t>序号</w:t>
            </w:r>
          </w:p>
        </w:tc>
        <w:tc>
          <w:tcPr>
            <w:tcW w:w="1777" w:type="dxa"/>
            <w:vAlign w:val="center"/>
          </w:tcPr>
          <w:p>
            <w:pPr>
              <w:widowControl/>
              <w:adjustRightInd w:val="0"/>
              <w:snapToGrid w:val="0"/>
              <w:jc w:val="center"/>
              <w:rPr>
                <w:rFonts w:ascii="宋体" w:hAnsi="宋体" w:cs="宋体"/>
                <w:b/>
                <w:color w:val="auto"/>
                <w:kern w:val="0"/>
                <w:szCs w:val="21"/>
              </w:rPr>
            </w:pPr>
            <w:r>
              <w:rPr>
                <w:rFonts w:hint="eastAsia" w:ascii="宋体" w:hAnsi="宋体" w:cs="宋体"/>
                <w:b/>
                <w:color w:val="auto"/>
                <w:kern w:val="0"/>
                <w:szCs w:val="21"/>
              </w:rPr>
              <w:t>检查事项</w:t>
            </w:r>
          </w:p>
        </w:tc>
        <w:tc>
          <w:tcPr>
            <w:tcW w:w="1863" w:type="dxa"/>
            <w:vAlign w:val="center"/>
          </w:tcPr>
          <w:p>
            <w:pPr>
              <w:widowControl/>
              <w:adjustRightInd w:val="0"/>
              <w:snapToGrid w:val="0"/>
              <w:jc w:val="center"/>
              <w:rPr>
                <w:rFonts w:ascii="宋体" w:hAnsi="宋体" w:cs="宋体"/>
                <w:b/>
                <w:color w:val="auto"/>
                <w:kern w:val="0"/>
                <w:szCs w:val="21"/>
              </w:rPr>
            </w:pPr>
            <w:r>
              <w:rPr>
                <w:rFonts w:hint="eastAsia" w:ascii="宋体" w:hAnsi="宋体" w:cs="宋体"/>
                <w:b/>
                <w:color w:val="auto"/>
                <w:kern w:val="0"/>
                <w:szCs w:val="21"/>
              </w:rPr>
              <w:t>检查内容</w:t>
            </w:r>
          </w:p>
        </w:tc>
        <w:tc>
          <w:tcPr>
            <w:tcW w:w="4640" w:type="dxa"/>
            <w:vAlign w:val="center"/>
          </w:tcPr>
          <w:p>
            <w:pPr>
              <w:widowControl/>
              <w:adjustRightInd w:val="0"/>
              <w:snapToGrid w:val="0"/>
              <w:jc w:val="center"/>
              <w:rPr>
                <w:rFonts w:ascii="宋体" w:hAnsi="宋体" w:cs="宋体"/>
                <w:b/>
                <w:color w:val="auto"/>
                <w:kern w:val="0"/>
                <w:szCs w:val="21"/>
              </w:rPr>
            </w:pPr>
            <w:r>
              <w:rPr>
                <w:rFonts w:hint="eastAsia" w:ascii="宋体" w:hAnsi="宋体" w:cs="宋体"/>
                <w:b/>
                <w:color w:val="auto"/>
                <w:kern w:val="0"/>
                <w:szCs w:val="21"/>
              </w:rPr>
              <w:t>检查依据指引</w:t>
            </w:r>
          </w:p>
        </w:tc>
        <w:tc>
          <w:tcPr>
            <w:tcW w:w="3918" w:type="dxa"/>
            <w:vAlign w:val="center"/>
          </w:tcPr>
          <w:p>
            <w:pPr>
              <w:widowControl/>
              <w:adjustRightInd w:val="0"/>
              <w:snapToGrid w:val="0"/>
              <w:jc w:val="center"/>
              <w:rPr>
                <w:rFonts w:ascii="宋体" w:hAnsi="宋体" w:cs="宋体"/>
                <w:b/>
                <w:color w:val="auto"/>
                <w:kern w:val="0"/>
                <w:szCs w:val="21"/>
              </w:rPr>
            </w:pPr>
            <w:r>
              <w:rPr>
                <w:rFonts w:hint="eastAsia" w:ascii="宋体" w:hAnsi="宋体" w:cs="宋体"/>
                <w:b/>
                <w:color w:val="auto"/>
                <w:kern w:val="0"/>
                <w:szCs w:val="21"/>
              </w:rPr>
              <w:t>法律责任指引</w:t>
            </w:r>
          </w:p>
        </w:tc>
        <w:tc>
          <w:tcPr>
            <w:tcW w:w="819" w:type="dxa"/>
            <w:vAlign w:val="center"/>
          </w:tcPr>
          <w:p>
            <w:pPr>
              <w:widowControl/>
              <w:adjustRightInd w:val="0"/>
              <w:snapToGrid w:val="0"/>
              <w:jc w:val="center"/>
              <w:rPr>
                <w:rFonts w:ascii="宋体" w:hAnsi="宋体" w:cs="宋体"/>
                <w:b/>
                <w:color w:val="auto"/>
                <w:kern w:val="0"/>
                <w:szCs w:val="21"/>
              </w:rPr>
            </w:pPr>
            <w:r>
              <w:rPr>
                <w:rFonts w:hint="eastAsia" w:ascii="宋体" w:hAnsi="宋体" w:cs="宋体"/>
                <w:b/>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955" w:hRule="atLeast"/>
          <w:jc w:val="center"/>
        </w:trPr>
        <w:tc>
          <w:tcPr>
            <w:tcW w:w="862" w:type="dxa"/>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1</w:t>
            </w:r>
          </w:p>
        </w:tc>
        <w:tc>
          <w:tcPr>
            <w:tcW w:w="1777"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主要负责人履行职责情况</w:t>
            </w: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生产经营单位的主要负责人履行对本单位安全生产工作法定职责</w:t>
            </w:r>
          </w:p>
        </w:tc>
        <w:tc>
          <w:tcPr>
            <w:tcW w:w="4640"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》第二十一条　生产经营单位的主要负责人对本单位安全生产工作负有下列职责:</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（一）建立健全并落实本单位全员安全生产责任制，加强安全生产标准化建设；</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（二）组织制定并实施本单位安全生产规章制度和操作规程；</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（三）组织制定并实施本单位安全生产教育和培训计划；</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（四）保证本单位安全生产投入的有效实施；</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（五）组织建立并落实安全风险分级管控和隐患排查治理双重预防工作机制，督促、检查本单位的安全生产工作，及时消除生产安全事故隐患；</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（六）组织制定并实施本单位的生产安全事故应急救援预案；</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（七）及时、如实报告生产安全事故。</w:t>
            </w:r>
          </w:p>
          <w:p>
            <w:pPr>
              <w:widowControl/>
              <w:adjustRightInd w:val="0"/>
              <w:snapToGrid w:val="0"/>
              <w:rPr>
                <w:rFonts w:ascii="宋体" w:hAnsi="宋体" w:cs="宋体"/>
                <w:color w:val="auto"/>
                <w:kern w:val="0"/>
                <w:szCs w:val="21"/>
              </w:rPr>
            </w:pPr>
          </w:p>
        </w:tc>
        <w:tc>
          <w:tcPr>
            <w:tcW w:w="3918"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》第九十四条　生产经营单位的主要负责人未履行本法规定的安全生产管理职责的，责令限期改正，处二万元以上五万元以下的罚款；逾期未改正的，处五万元以上十万元以下的罚款，责令生产经营单位停产停业整顿。</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生产经营单位的主要负责人有前款违法行为，导致发生生产安全事故的，给予撤职处分；构成犯罪的，依照刑法有关规定追究刑事责任。</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005" w:hRule="atLeast"/>
          <w:jc w:val="center"/>
        </w:trPr>
        <w:tc>
          <w:tcPr>
            <w:tcW w:w="862" w:type="dxa"/>
            <w:vMerge w:val="restart"/>
            <w:vAlign w:val="center"/>
          </w:tcPr>
          <w:p>
            <w:pPr>
              <w:widowControl/>
              <w:adjustRightInd w:val="0"/>
              <w:snapToGrid w:val="0"/>
              <w:jc w:val="center"/>
              <w:rPr>
                <w:rFonts w:ascii="宋体" w:hAnsi="宋体" w:cs="宋体"/>
                <w:color w:val="auto"/>
                <w:kern w:val="0"/>
                <w:szCs w:val="21"/>
              </w:rPr>
            </w:pPr>
            <w:r>
              <w:rPr>
                <w:rFonts w:hint="eastAsia" w:ascii="宋体" w:hAnsi="宋体" w:cs="宋体"/>
                <w:color w:val="auto"/>
                <w:kern w:val="0"/>
                <w:szCs w:val="21"/>
              </w:rPr>
              <w:t>2</w:t>
            </w:r>
          </w:p>
        </w:tc>
        <w:tc>
          <w:tcPr>
            <w:tcW w:w="1777" w:type="dxa"/>
            <w:vMerge w:val="restart"/>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安全投入保障情况</w:t>
            </w: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2.1 资金投入保障</w:t>
            </w:r>
          </w:p>
        </w:tc>
        <w:tc>
          <w:tcPr>
            <w:tcW w:w="4640"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》第二十三条　生产经营单位应当具备的安全生产条件所必需的资金投入，由生产经营单位的决策机构、主要负责人或者个人经营的投资人予以保证，并对由于安全生产所必需的资金投入不足导致的后果承担责任。</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3918"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有前款违法行为，导致发生生产安全事故的，对生产经营单位的主要负责人给予撤职处分，对个人经营的投资人处二万元以上二十万元以下的罚款；构成犯罪的，依照刑法有关规定追究刑事责任。</w:t>
            </w:r>
          </w:p>
          <w:p>
            <w:pPr>
              <w:widowControl/>
              <w:adjustRightInd w:val="0"/>
              <w:snapToGrid w:val="0"/>
              <w:ind w:firstLine="420" w:firstLineChars="200"/>
              <w:rPr>
                <w:rFonts w:ascii="宋体" w:hAnsi="宋体" w:cs="宋体"/>
                <w:color w:val="auto"/>
                <w:kern w:val="0"/>
                <w:szCs w:val="21"/>
              </w:rPr>
            </w:pPr>
          </w:p>
        </w:tc>
        <w:tc>
          <w:tcPr>
            <w:tcW w:w="819" w:type="dxa"/>
            <w:vMerge w:val="restart"/>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904" w:hRule="atLeast"/>
          <w:jc w:val="center"/>
        </w:trPr>
        <w:tc>
          <w:tcPr>
            <w:tcW w:w="862" w:type="dxa"/>
            <w:vMerge w:val="continue"/>
            <w:vAlign w:val="center"/>
          </w:tcPr>
          <w:p>
            <w:pPr>
              <w:widowControl/>
              <w:adjustRightInd w:val="0"/>
              <w:snapToGrid w:val="0"/>
              <w:jc w:val="center"/>
              <w:rPr>
                <w:rFonts w:ascii="宋体" w:hAnsi="宋体" w:cs="宋体"/>
                <w:color w:val="auto"/>
                <w:kern w:val="0"/>
                <w:szCs w:val="21"/>
              </w:rPr>
            </w:pPr>
          </w:p>
        </w:tc>
        <w:tc>
          <w:tcPr>
            <w:tcW w:w="1777" w:type="dxa"/>
            <w:vMerge w:val="continue"/>
            <w:vAlign w:val="center"/>
          </w:tcPr>
          <w:p>
            <w:pPr>
              <w:widowControl/>
              <w:adjustRightInd w:val="0"/>
              <w:snapToGrid w:val="0"/>
              <w:rPr>
                <w:rFonts w:ascii="宋体" w:hAnsi="宋体" w:cs="宋体"/>
                <w:color w:val="auto"/>
                <w:kern w:val="0"/>
                <w:szCs w:val="21"/>
              </w:rPr>
            </w:pP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2.2 安全费用提取和使用</w:t>
            </w:r>
          </w:p>
        </w:tc>
        <w:tc>
          <w:tcPr>
            <w:tcW w:w="4640"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》第二十</w:t>
            </w:r>
            <w:r>
              <w:rPr>
                <w:rFonts w:hint="eastAsia" w:ascii="宋体" w:hAnsi="宋体" w:cs="宋体"/>
                <w:color w:val="auto"/>
                <w:kern w:val="0"/>
                <w:szCs w:val="21"/>
                <w:lang w:eastAsia="zh-CN"/>
              </w:rPr>
              <w:t>三</w:t>
            </w:r>
            <w:r>
              <w:rPr>
                <w:rFonts w:hint="eastAsia" w:ascii="宋体" w:hAnsi="宋体" w:cs="宋体"/>
                <w:color w:val="auto"/>
                <w:kern w:val="0"/>
                <w:szCs w:val="21"/>
              </w:rPr>
              <w:t>条 ……</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《企业安全生产费用提取和使用管理办法》（财资〔2022〕136号</w:t>
            </w:r>
          </w:p>
          <w:p>
            <w:pPr>
              <w:widowControl/>
              <w:adjustRightInd w:val="0"/>
              <w:snapToGrid w:val="0"/>
              <w:ind w:firstLine="420" w:firstLineChars="200"/>
              <w:rPr>
                <w:rFonts w:ascii="宋体" w:hAnsi="宋体" w:cs="宋体"/>
                <w:color w:val="auto"/>
                <w:kern w:val="0"/>
                <w:szCs w:val="21"/>
              </w:rPr>
            </w:pPr>
          </w:p>
        </w:tc>
        <w:tc>
          <w:tcPr>
            <w:tcW w:w="3918"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《安全生产违法行为行政处罚办法》第四十三条  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（一）提取或者使用安全生产费用；</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生产经营单位主要负责人、个人经营的投资人有前款违法行为，导致发生生产安全事故的，依照《生产安全事故罚款处罚规定（试行）》的规定给予处罚。</w:t>
            </w:r>
          </w:p>
        </w:tc>
        <w:tc>
          <w:tcPr>
            <w:tcW w:w="819" w:type="dxa"/>
            <w:vMerge w:val="continue"/>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90" w:hRule="atLeast"/>
          <w:jc w:val="center"/>
        </w:trPr>
        <w:tc>
          <w:tcPr>
            <w:tcW w:w="862" w:type="dxa"/>
            <w:vMerge w:val="continue"/>
            <w:vAlign w:val="center"/>
          </w:tcPr>
          <w:p>
            <w:pPr>
              <w:widowControl/>
              <w:adjustRightInd w:val="0"/>
              <w:snapToGrid w:val="0"/>
              <w:jc w:val="center"/>
              <w:rPr>
                <w:rFonts w:ascii="宋体" w:hAnsi="宋体" w:cs="宋体"/>
                <w:color w:val="auto"/>
                <w:kern w:val="0"/>
                <w:szCs w:val="21"/>
              </w:rPr>
            </w:pPr>
          </w:p>
        </w:tc>
        <w:tc>
          <w:tcPr>
            <w:tcW w:w="1777" w:type="dxa"/>
            <w:vMerge w:val="continue"/>
            <w:vAlign w:val="center"/>
          </w:tcPr>
          <w:p>
            <w:pPr>
              <w:widowControl/>
              <w:adjustRightInd w:val="0"/>
              <w:snapToGrid w:val="0"/>
              <w:rPr>
                <w:rFonts w:ascii="宋体" w:hAnsi="宋体" w:cs="宋体"/>
                <w:color w:val="auto"/>
                <w:kern w:val="0"/>
                <w:szCs w:val="21"/>
              </w:rPr>
            </w:pP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2.3 劳动防护用品配备经费</w:t>
            </w:r>
          </w:p>
        </w:tc>
        <w:tc>
          <w:tcPr>
            <w:tcW w:w="4640"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》第四十七条　生产经营单位应当安排用于配备劳动防护用品、进行安全生产培训的经费。</w:t>
            </w:r>
          </w:p>
          <w:p>
            <w:pPr>
              <w:widowControl/>
              <w:adjustRightInd w:val="0"/>
              <w:snapToGrid w:val="0"/>
              <w:ind w:firstLine="420" w:firstLineChars="200"/>
              <w:rPr>
                <w:rFonts w:ascii="宋体" w:hAnsi="宋体" w:cs="宋体"/>
                <w:color w:val="auto"/>
                <w:kern w:val="0"/>
                <w:szCs w:val="21"/>
              </w:rPr>
            </w:pPr>
          </w:p>
        </w:tc>
        <w:tc>
          <w:tcPr>
            <w:tcW w:w="3918"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《安全生产违法行为行政处罚办法》第四十三条  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p>
          <w:p>
            <w:pPr>
              <w:widowControl/>
              <w:adjustRightInd w:val="0"/>
              <w:snapToGrid w:val="0"/>
              <w:ind w:firstLine="422" w:firstLineChars="200"/>
              <w:rPr>
                <w:rFonts w:hint="eastAsia" w:ascii="宋体" w:hAnsi="宋体" w:cs="宋体"/>
                <w:color w:val="auto"/>
                <w:kern w:val="0"/>
                <w:szCs w:val="21"/>
              </w:rPr>
            </w:pPr>
            <w:r>
              <w:rPr>
                <w:rFonts w:hint="eastAsia" w:ascii="宋体" w:hAnsi="宋体" w:cs="宋体"/>
                <w:b/>
                <w:bCs/>
                <w:color w:val="auto"/>
                <w:kern w:val="0"/>
                <w:szCs w:val="21"/>
              </w:rPr>
              <w:t>（二）用于配备劳动防护用品的经费；</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生产经营单位主要负责人、个人经营的投资人有前款违法行为，导致发生生产安全事故的，依照《生产安全事故罚款处罚规定（试行）》的规定给予处罚。</w:t>
            </w:r>
          </w:p>
        </w:tc>
        <w:tc>
          <w:tcPr>
            <w:tcW w:w="819" w:type="dxa"/>
            <w:vMerge w:val="continue"/>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274" w:hRule="atLeast"/>
          <w:jc w:val="center"/>
        </w:trPr>
        <w:tc>
          <w:tcPr>
            <w:tcW w:w="862" w:type="dxa"/>
            <w:vMerge w:val="continue"/>
            <w:vAlign w:val="center"/>
          </w:tcPr>
          <w:p>
            <w:pPr>
              <w:widowControl/>
              <w:adjustRightInd w:val="0"/>
              <w:snapToGrid w:val="0"/>
              <w:jc w:val="center"/>
              <w:rPr>
                <w:rFonts w:ascii="宋体" w:hAnsi="宋体" w:cs="宋体"/>
                <w:color w:val="auto"/>
                <w:kern w:val="0"/>
                <w:szCs w:val="21"/>
              </w:rPr>
            </w:pPr>
          </w:p>
        </w:tc>
        <w:tc>
          <w:tcPr>
            <w:tcW w:w="1777" w:type="dxa"/>
            <w:vMerge w:val="continue"/>
            <w:vAlign w:val="center"/>
          </w:tcPr>
          <w:p>
            <w:pPr>
              <w:widowControl/>
              <w:adjustRightInd w:val="0"/>
              <w:snapToGrid w:val="0"/>
              <w:rPr>
                <w:rFonts w:ascii="宋体" w:hAnsi="宋体" w:cs="宋体"/>
                <w:color w:val="auto"/>
                <w:kern w:val="0"/>
                <w:szCs w:val="21"/>
              </w:rPr>
            </w:pP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2.4 安全生产教育和培训经费</w:t>
            </w:r>
          </w:p>
        </w:tc>
        <w:tc>
          <w:tcPr>
            <w:tcW w:w="4640"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》第四十</w:t>
            </w:r>
            <w:r>
              <w:rPr>
                <w:rFonts w:hint="eastAsia" w:ascii="宋体" w:hAnsi="宋体" w:cs="宋体"/>
                <w:color w:val="auto"/>
                <w:kern w:val="0"/>
                <w:szCs w:val="21"/>
                <w:lang w:eastAsia="zh-CN"/>
              </w:rPr>
              <w:t>七</w:t>
            </w:r>
            <w:r>
              <w:rPr>
                <w:rFonts w:hint="eastAsia" w:ascii="宋体" w:hAnsi="宋体" w:cs="宋体"/>
                <w:color w:val="auto"/>
                <w:kern w:val="0"/>
                <w:szCs w:val="21"/>
              </w:rPr>
              <w:t>条  生产经营单位应当安排用于配备劳动防护用品、进行安全生产培训的经费。</w:t>
            </w:r>
          </w:p>
        </w:tc>
        <w:tc>
          <w:tcPr>
            <w:tcW w:w="3918"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《安全生产违法行为行政处罚办法》第四十三条  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p>
          <w:p>
            <w:pPr>
              <w:widowControl/>
              <w:adjustRightInd w:val="0"/>
              <w:snapToGrid w:val="0"/>
              <w:ind w:firstLine="422" w:firstLineChars="200"/>
              <w:rPr>
                <w:rFonts w:hint="eastAsia" w:ascii="宋体" w:hAnsi="宋体" w:cs="宋体"/>
                <w:color w:val="auto"/>
                <w:kern w:val="0"/>
                <w:szCs w:val="21"/>
              </w:rPr>
            </w:pPr>
            <w:r>
              <w:rPr>
                <w:rFonts w:hint="eastAsia" w:ascii="宋体" w:hAnsi="宋体" w:cs="宋体"/>
                <w:b/>
                <w:bCs/>
                <w:color w:val="auto"/>
                <w:kern w:val="0"/>
                <w:szCs w:val="21"/>
              </w:rPr>
              <w:t>（三）用于安全生产教育和培训的经费</w:t>
            </w:r>
            <w:r>
              <w:rPr>
                <w:rFonts w:hint="eastAsia" w:ascii="宋体" w:hAnsi="宋体" w:cs="宋体"/>
                <w:b/>
                <w:bCs/>
                <w:color w:val="auto"/>
                <w:kern w:val="0"/>
                <w:szCs w:val="21"/>
                <w:lang w:eastAsia="zh-CN"/>
              </w:rPr>
              <w:t>；</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生产经营单位主要负责人、个人经营的投资人有前款违法行为，导致发生生产安全事故的，依照《生产安全事故罚款处罚规定（试行）》的规定给予处罚。</w:t>
            </w:r>
          </w:p>
        </w:tc>
        <w:tc>
          <w:tcPr>
            <w:tcW w:w="819" w:type="dxa"/>
            <w:vMerge w:val="continue"/>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restart"/>
            <w:vAlign w:val="center"/>
          </w:tcPr>
          <w:p>
            <w:pPr>
              <w:jc w:val="center"/>
              <w:rPr>
                <w:rFonts w:ascii="宋体" w:hAnsi="宋体" w:cs="宋体"/>
                <w:color w:val="auto"/>
                <w:kern w:val="0"/>
                <w:szCs w:val="21"/>
              </w:rPr>
            </w:pPr>
            <w:r>
              <w:rPr>
                <w:rFonts w:hint="eastAsia" w:ascii="宋体" w:hAnsi="宋体" w:cs="宋体"/>
                <w:color w:val="auto"/>
                <w:kern w:val="0"/>
                <w:szCs w:val="21"/>
              </w:rPr>
              <w:t>3</w:t>
            </w:r>
          </w:p>
        </w:tc>
        <w:tc>
          <w:tcPr>
            <w:tcW w:w="1777" w:type="dxa"/>
            <w:vMerge w:val="restart"/>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安全生产管理机构人员设置配备及规章制度制定与执行情况</w:t>
            </w: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3.1 高危行业生产经营单位设置机构、配备专职人员；其他生产经营单位设置机构、配备专兼职人员</w:t>
            </w:r>
          </w:p>
        </w:tc>
        <w:tc>
          <w:tcPr>
            <w:tcW w:w="4640" w:type="dxa"/>
            <w:vAlign w:val="center"/>
          </w:tcPr>
          <w:p>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第二十四条　矿山、金属冶炼、建筑施工、运输单位和危险物品的生产、经营、储存、装卸单位，应当设置安全生产管理机构或者配备专职安全生产管理人员。</w:t>
            </w:r>
          </w:p>
          <w:p>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前款规定以外的其他生产经营单位，从业人员超过一百人的，应当设置安全生产管理机构或者配备专职安全生产管理人员；从业人员在一百人以下的，应当配备专职或者兼职的安全生产管理人员。</w:t>
            </w:r>
          </w:p>
          <w:p>
            <w:pPr>
              <w:widowControl/>
              <w:adjustRightInd w:val="0"/>
              <w:snapToGrid w:val="0"/>
              <w:ind w:firstLine="420" w:firstLineChars="200"/>
              <w:rPr>
                <w:rFonts w:ascii="宋体" w:hAnsi="宋体" w:cs="宋体"/>
                <w:color w:val="auto"/>
                <w:kern w:val="0"/>
                <w:szCs w:val="21"/>
              </w:rPr>
            </w:pPr>
          </w:p>
        </w:tc>
        <w:tc>
          <w:tcPr>
            <w:tcW w:w="3918"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widowControl/>
              <w:numPr>
                <w:ilvl w:val="0"/>
                <w:numId w:val="1"/>
              </w:numPr>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未按照规定设置安全生产管理机构或者配备安全生产管理人员、注册安全工程师的；</w:t>
            </w:r>
          </w:p>
          <w:p>
            <w:pPr>
              <w:widowControl/>
              <w:numPr>
                <w:ilvl w:val="0"/>
                <w:numId w:val="0"/>
              </w:numPr>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452" w:hRule="atLeast"/>
          <w:jc w:val="center"/>
        </w:trPr>
        <w:tc>
          <w:tcPr>
            <w:tcW w:w="862" w:type="dxa"/>
            <w:vMerge w:val="continue"/>
            <w:vAlign w:val="center"/>
          </w:tcPr>
          <w:p>
            <w:pPr>
              <w:jc w:val="center"/>
              <w:rPr>
                <w:rFonts w:ascii="宋体" w:hAnsi="宋体" w:cs="宋体"/>
                <w:color w:val="auto"/>
                <w:kern w:val="0"/>
                <w:szCs w:val="21"/>
              </w:rPr>
            </w:pPr>
          </w:p>
        </w:tc>
        <w:tc>
          <w:tcPr>
            <w:tcW w:w="1777" w:type="dxa"/>
            <w:vMerge w:val="continue"/>
            <w:vAlign w:val="center"/>
          </w:tcPr>
          <w:p>
            <w:pPr>
              <w:widowControl/>
              <w:adjustRightInd w:val="0"/>
              <w:snapToGrid w:val="0"/>
              <w:rPr>
                <w:rFonts w:ascii="宋体" w:hAnsi="宋体" w:cs="宋体"/>
                <w:color w:val="auto"/>
                <w:kern w:val="0"/>
                <w:szCs w:val="21"/>
              </w:rPr>
            </w:pP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3.2 危险物品生产经营单位建立专门的安全管理制度，采取可靠的安全措施</w:t>
            </w:r>
          </w:p>
        </w:tc>
        <w:tc>
          <w:tcPr>
            <w:tcW w:w="4640" w:type="dxa"/>
            <w:vAlign w:val="center"/>
          </w:tcPr>
          <w:p>
            <w:pPr>
              <w:widowControl/>
              <w:adjustRightInd w:val="0"/>
              <w:snapToGrid w:val="0"/>
              <w:ind w:firstLine="420" w:firstLineChars="200"/>
              <w:rPr>
                <w:rFonts w:hint="eastAsia" w:ascii="宋体" w:hAnsi="宋体" w:cs="宋体"/>
                <w:color w:val="auto"/>
                <w:kern w:val="0"/>
                <w:szCs w:val="21"/>
                <w:lang w:eastAsia="zh-CN"/>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》第三十</w:t>
            </w:r>
            <w:r>
              <w:rPr>
                <w:rFonts w:hint="eastAsia" w:ascii="宋体" w:hAnsi="宋体" w:cs="宋体"/>
                <w:color w:val="auto"/>
                <w:kern w:val="0"/>
                <w:szCs w:val="21"/>
                <w:lang w:eastAsia="zh-CN"/>
              </w:rPr>
              <w:t>九</w:t>
            </w:r>
            <w:r>
              <w:rPr>
                <w:rFonts w:hint="eastAsia" w:ascii="宋体" w:hAnsi="宋体" w:cs="宋体"/>
                <w:color w:val="auto"/>
                <w:kern w:val="0"/>
                <w:szCs w:val="21"/>
              </w:rPr>
              <w:t xml:space="preserve">条  </w:t>
            </w:r>
            <w:r>
              <w:rPr>
                <w:rFonts w:hint="eastAsia" w:ascii="宋体" w:hAnsi="宋体" w:cs="宋体"/>
                <w:color w:val="auto"/>
                <w:kern w:val="0"/>
                <w:szCs w:val="21"/>
                <w:lang w:eastAsia="zh-CN"/>
              </w:rPr>
              <w:t>……</w:t>
            </w:r>
          </w:p>
          <w:p>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widowControl/>
              <w:adjustRightInd w:val="0"/>
              <w:snapToGrid w:val="0"/>
              <w:ind w:firstLine="420" w:firstLineChars="200"/>
              <w:rPr>
                <w:rFonts w:hint="eastAsia" w:ascii="宋体" w:hAnsi="宋体" w:cs="宋体"/>
                <w:color w:val="auto"/>
                <w:kern w:val="0"/>
                <w:szCs w:val="21"/>
              </w:rPr>
            </w:pPr>
          </w:p>
        </w:tc>
        <w:tc>
          <w:tcPr>
            <w:tcW w:w="3918"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（一）生产、经营、运输、储存、使用危险物品或者处置废弃危险物品，未建立专门安全管理制度、未采取可靠的安全措施的；</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711" w:hRule="atLeast"/>
          <w:jc w:val="center"/>
        </w:trPr>
        <w:tc>
          <w:tcPr>
            <w:tcW w:w="862" w:type="dxa"/>
            <w:vMerge w:val="restart"/>
            <w:vAlign w:val="center"/>
          </w:tcPr>
          <w:p>
            <w:pPr>
              <w:jc w:val="center"/>
              <w:rPr>
                <w:rFonts w:ascii="宋体" w:hAnsi="宋体" w:cs="宋体"/>
                <w:color w:val="auto"/>
                <w:kern w:val="0"/>
                <w:szCs w:val="21"/>
              </w:rPr>
            </w:pPr>
            <w:r>
              <w:rPr>
                <w:rFonts w:hint="eastAsia" w:ascii="宋体" w:hAnsi="宋体" w:cs="宋体"/>
                <w:color w:val="auto"/>
                <w:kern w:val="0"/>
                <w:szCs w:val="21"/>
              </w:rPr>
              <w:t>4</w:t>
            </w:r>
          </w:p>
        </w:tc>
        <w:tc>
          <w:tcPr>
            <w:tcW w:w="1777" w:type="dxa"/>
            <w:vMerge w:val="restart"/>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从业人员安全生产教育和培训情况</w:t>
            </w: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4.1 主要负责人和安全管理人员安全生产知识和管理能力及考核</w:t>
            </w:r>
          </w:p>
        </w:tc>
        <w:tc>
          <w:tcPr>
            <w:tcW w:w="4640"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第二十七条　生产经营单位的主要负责人和安全生产管理人员必须具备与本单位所从事的生产经营活动相应的安全生产知识和管理能力。</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3918" w:type="dxa"/>
            <w:vAlign w:val="center"/>
          </w:tcPr>
          <w:p>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（二）危险物品的生产、经营、储存、装卸单位以及矿山、金属冶炼、建筑施工、运输单位的主要负责人和安全生产管理人员未按照规定经考核合格的；</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819" w:type="dxa"/>
            <w:vMerge w:val="restart"/>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711" w:hRule="atLeast"/>
          <w:jc w:val="center"/>
        </w:trPr>
        <w:tc>
          <w:tcPr>
            <w:tcW w:w="862" w:type="dxa"/>
            <w:vMerge w:val="continue"/>
            <w:vAlign w:val="center"/>
          </w:tcPr>
          <w:p>
            <w:pPr>
              <w:jc w:val="center"/>
              <w:rPr>
                <w:rFonts w:ascii="宋体" w:hAnsi="宋体" w:cs="宋体"/>
                <w:color w:val="auto"/>
                <w:kern w:val="0"/>
                <w:szCs w:val="21"/>
              </w:rPr>
            </w:pPr>
          </w:p>
        </w:tc>
        <w:tc>
          <w:tcPr>
            <w:tcW w:w="1777" w:type="dxa"/>
            <w:vMerge w:val="continue"/>
            <w:vAlign w:val="center"/>
          </w:tcPr>
          <w:p>
            <w:pPr>
              <w:widowControl/>
              <w:adjustRightInd w:val="0"/>
              <w:snapToGrid w:val="0"/>
              <w:rPr>
                <w:rFonts w:ascii="宋体" w:hAnsi="宋体" w:cs="宋体"/>
                <w:color w:val="auto"/>
                <w:kern w:val="0"/>
                <w:szCs w:val="21"/>
              </w:rPr>
            </w:pP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4.2 从业人员安全生产教育培训</w:t>
            </w:r>
          </w:p>
        </w:tc>
        <w:tc>
          <w:tcPr>
            <w:tcW w:w="4640"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生产经营单位接收中等职业学校、高等学校学生实习的，应当对实习学生进行相应的安全生产教育和培训，提供必要的劳动防护用品。学校应当协助生产经营单位对实习学生进行安全生产教育和培训。</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lang w:val="en-US" w:eastAsia="zh-CN"/>
              </w:rPr>
              <w:t>生产经营单位应当建立安全生产教育和培训档案，如实记录安全生产教育和培训的时间、内容、参加人员以及考核结果等情况。</w:t>
            </w:r>
          </w:p>
        </w:tc>
        <w:tc>
          <w:tcPr>
            <w:tcW w:w="3918" w:type="dxa"/>
            <w:vAlign w:val="center"/>
          </w:tcPr>
          <w:p>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p>
          <w:p>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（三）未按照规定对从业人员、被派遣劳动者、实习学生进行安全生产教育和培训，或者未按照规定如实告知有关的安全生产事项的；</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（四）未如实记录安全生产教育和培训情况的；</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819" w:type="dxa"/>
            <w:vMerge w:val="continue"/>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711" w:hRule="atLeast"/>
          <w:jc w:val="center"/>
        </w:trPr>
        <w:tc>
          <w:tcPr>
            <w:tcW w:w="862" w:type="dxa"/>
            <w:vMerge w:val="continue"/>
            <w:vAlign w:val="center"/>
          </w:tcPr>
          <w:p>
            <w:pPr>
              <w:jc w:val="center"/>
              <w:rPr>
                <w:rFonts w:ascii="宋体" w:hAnsi="宋体" w:cs="宋体"/>
                <w:color w:val="auto"/>
                <w:kern w:val="0"/>
                <w:szCs w:val="21"/>
              </w:rPr>
            </w:pPr>
          </w:p>
        </w:tc>
        <w:tc>
          <w:tcPr>
            <w:tcW w:w="1777" w:type="dxa"/>
            <w:vMerge w:val="continue"/>
            <w:vAlign w:val="center"/>
          </w:tcPr>
          <w:p>
            <w:pPr>
              <w:widowControl/>
              <w:adjustRightInd w:val="0"/>
              <w:snapToGrid w:val="0"/>
              <w:rPr>
                <w:rFonts w:ascii="宋体" w:hAnsi="宋体" w:cs="宋体"/>
                <w:color w:val="auto"/>
                <w:kern w:val="0"/>
                <w:szCs w:val="21"/>
              </w:rPr>
            </w:pP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4.3 从业人员“四新”培训</w:t>
            </w:r>
          </w:p>
        </w:tc>
        <w:tc>
          <w:tcPr>
            <w:tcW w:w="4640"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第二十九条　生产经营单位采用新工艺、新技术、新材料或者使用新设备，必须了解、掌握其安全技术特性，采取有效的安全防护措施，并对从业人员进行专门的安全生产教育和培训。</w:t>
            </w:r>
          </w:p>
          <w:p>
            <w:pPr>
              <w:widowControl/>
              <w:adjustRightInd w:val="0"/>
              <w:snapToGrid w:val="0"/>
              <w:ind w:firstLine="420" w:firstLineChars="200"/>
              <w:rPr>
                <w:rFonts w:ascii="宋体" w:hAnsi="宋体" w:cs="宋体"/>
                <w:color w:val="auto"/>
                <w:kern w:val="0"/>
                <w:szCs w:val="21"/>
              </w:rPr>
            </w:pPr>
          </w:p>
        </w:tc>
        <w:tc>
          <w:tcPr>
            <w:tcW w:w="3918" w:type="dxa"/>
            <w:vAlign w:val="center"/>
          </w:tcPr>
          <w:p>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（三）未按照规定对从业人员、被派遣劳动者、实习学生进行安全生产教育和培训，或者未按照规定如实告知有关的安全生产事项的；</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819" w:type="dxa"/>
            <w:vMerge w:val="continue"/>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360" w:hRule="atLeast"/>
          <w:jc w:val="center"/>
        </w:trPr>
        <w:tc>
          <w:tcPr>
            <w:tcW w:w="862" w:type="dxa"/>
            <w:vMerge w:val="continue"/>
            <w:vAlign w:val="center"/>
          </w:tcPr>
          <w:p>
            <w:pPr>
              <w:jc w:val="center"/>
              <w:rPr>
                <w:rFonts w:ascii="宋体" w:hAnsi="宋体" w:cs="宋体"/>
                <w:color w:val="auto"/>
                <w:kern w:val="0"/>
                <w:szCs w:val="21"/>
              </w:rPr>
            </w:pPr>
          </w:p>
        </w:tc>
        <w:tc>
          <w:tcPr>
            <w:tcW w:w="1777" w:type="dxa"/>
            <w:vMerge w:val="continue"/>
            <w:vAlign w:val="center"/>
          </w:tcPr>
          <w:p>
            <w:pPr>
              <w:widowControl/>
              <w:adjustRightInd w:val="0"/>
              <w:snapToGrid w:val="0"/>
              <w:rPr>
                <w:rFonts w:ascii="宋体" w:hAnsi="宋体" w:cs="宋体"/>
                <w:color w:val="auto"/>
                <w:kern w:val="0"/>
                <w:szCs w:val="21"/>
              </w:rPr>
            </w:pP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4.4 培训时间</w:t>
            </w:r>
          </w:p>
        </w:tc>
        <w:tc>
          <w:tcPr>
            <w:tcW w:w="4640"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《安全生产培训管理办法》第十一条  生产经营单位从业人员的培训内容和培训时间，应当符合《生产经营单位安全培训规定》和有关标准的规定。</w:t>
            </w:r>
          </w:p>
        </w:tc>
        <w:tc>
          <w:tcPr>
            <w:tcW w:w="3918"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《安全生产培训管理办法》第三十六条  生产经营单位有下列情形之一的，责令改正，处3万元以下的罚款：</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（一）从业人员安全培训的时间少于《生产经营单位安全培训规定》或者有关标准规定的；</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819" w:type="dxa"/>
            <w:vMerge w:val="continue"/>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816" w:hRule="atLeast"/>
          <w:jc w:val="center"/>
        </w:trPr>
        <w:tc>
          <w:tcPr>
            <w:tcW w:w="862" w:type="dxa"/>
            <w:vMerge w:val="continue"/>
            <w:vAlign w:val="center"/>
          </w:tcPr>
          <w:p>
            <w:pPr>
              <w:jc w:val="center"/>
              <w:rPr>
                <w:rFonts w:ascii="宋体" w:hAnsi="宋体" w:cs="宋体"/>
                <w:color w:val="auto"/>
                <w:kern w:val="0"/>
                <w:szCs w:val="21"/>
              </w:rPr>
            </w:pPr>
          </w:p>
        </w:tc>
        <w:tc>
          <w:tcPr>
            <w:tcW w:w="1777" w:type="dxa"/>
            <w:vMerge w:val="continue"/>
            <w:vAlign w:val="center"/>
          </w:tcPr>
          <w:p>
            <w:pPr>
              <w:widowControl/>
              <w:adjustRightInd w:val="0"/>
              <w:snapToGrid w:val="0"/>
              <w:rPr>
                <w:rFonts w:ascii="宋体" w:hAnsi="宋体" w:cs="宋体"/>
                <w:color w:val="auto"/>
                <w:kern w:val="0"/>
                <w:szCs w:val="21"/>
              </w:rPr>
            </w:pP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4.5 告知从业人员安全生产事项</w:t>
            </w:r>
          </w:p>
        </w:tc>
        <w:tc>
          <w:tcPr>
            <w:tcW w:w="4640"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第四十四条　生产经营单位应当教育和督促从业人员严格执行本单位的安全生产规章制度和安全操作规程；并向从业人员如实告知作业场所和工作岗位存在的危险因素、防范措施以及事故应急措施。</w:t>
            </w:r>
          </w:p>
          <w:p>
            <w:pPr>
              <w:widowControl/>
              <w:adjustRightInd w:val="0"/>
              <w:snapToGrid w:val="0"/>
              <w:ind w:firstLine="420" w:firstLineChars="200"/>
              <w:rPr>
                <w:rFonts w:ascii="宋体" w:hAnsi="宋体" w:cs="宋体"/>
                <w:color w:val="auto"/>
                <w:kern w:val="0"/>
                <w:szCs w:val="21"/>
              </w:rPr>
            </w:pPr>
          </w:p>
        </w:tc>
        <w:tc>
          <w:tcPr>
            <w:tcW w:w="3918"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w:t>
            </w:r>
          </w:p>
          <w:p>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（三）未按照规定对从业人员、被派遣劳动者、实习学生进行安全生产教育和培训，或者未按照规定如实告知有关的安全生产事项的；</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819" w:type="dxa"/>
            <w:vMerge w:val="continue"/>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766" w:hRule="atLeast"/>
          <w:jc w:val="center"/>
        </w:trPr>
        <w:tc>
          <w:tcPr>
            <w:tcW w:w="862" w:type="dxa"/>
            <w:vMerge w:val="continue"/>
            <w:vAlign w:val="center"/>
          </w:tcPr>
          <w:p>
            <w:pPr>
              <w:jc w:val="center"/>
              <w:rPr>
                <w:rFonts w:ascii="宋体" w:hAnsi="宋体" w:cs="宋体"/>
                <w:color w:val="auto"/>
                <w:kern w:val="0"/>
                <w:szCs w:val="21"/>
              </w:rPr>
            </w:pPr>
          </w:p>
        </w:tc>
        <w:tc>
          <w:tcPr>
            <w:tcW w:w="1777" w:type="dxa"/>
            <w:vMerge w:val="continue"/>
            <w:vAlign w:val="center"/>
          </w:tcPr>
          <w:p>
            <w:pPr>
              <w:widowControl/>
              <w:adjustRightInd w:val="0"/>
              <w:snapToGrid w:val="0"/>
              <w:rPr>
                <w:rFonts w:ascii="宋体" w:hAnsi="宋体" w:cs="宋体"/>
                <w:color w:val="auto"/>
                <w:kern w:val="0"/>
                <w:szCs w:val="21"/>
              </w:rPr>
            </w:pP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4.6 新招矿山井下、危险物品作业人员实习上岗</w:t>
            </w:r>
          </w:p>
        </w:tc>
        <w:tc>
          <w:tcPr>
            <w:tcW w:w="4640"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《安全生产培训管理办法》第十三条  ……</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矿山新招的井下作业人员和危险物品生产经营单位新招的危险工艺操作岗位人员，除按照规定进行安全培训外，还应当在有经验的职工带领下实习满2个月后，方可独立上岗作业。</w:t>
            </w:r>
          </w:p>
        </w:tc>
        <w:tc>
          <w:tcPr>
            <w:tcW w:w="3918" w:type="dxa"/>
            <w:vAlign w:val="center"/>
          </w:tcPr>
          <w:p>
            <w:pPr>
              <w:widowControl/>
              <w:adjustRightInd w:val="0"/>
              <w:snapToGrid w:val="0"/>
              <w:ind w:firstLine="420" w:firstLineChars="200"/>
              <w:rPr>
                <w:color w:val="auto"/>
              </w:rPr>
            </w:pPr>
            <w:r>
              <w:rPr>
                <w:rFonts w:hint="eastAsia"/>
                <w:color w:val="auto"/>
              </w:rPr>
              <w:t>《安全生产培训管理办法》第三十六条  生产经营单位有下列情形之一的，责令改正，处</w:t>
            </w:r>
            <w:r>
              <w:rPr>
                <w:rFonts w:hint="eastAsia" w:asciiTheme="minorEastAsia" w:hAnsiTheme="minorEastAsia" w:eastAsiaTheme="minorEastAsia"/>
                <w:color w:val="auto"/>
                <w:highlight w:val="none"/>
              </w:rPr>
              <w:t>3</w:t>
            </w:r>
            <w:r>
              <w:rPr>
                <w:rFonts w:hint="eastAsia"/>
                <w:color w:val="auto"/>
                <w:highlight w:val="none"/>
              </w:rPr>
              <w:t>万</w:t>
            </w:r>
            <w:r>
              <w:rPr>
                <w:rFonts w:hint="eastAsia"/>
                <w:color w:val="auto"/>
              </w:rPr>
              <w:t>元以下的罚款：</w:t>
            </w:r>
          </w:p>
          <w:p>
            <w:pPr>
              <w:widowControl/>
              <w:adjustRightInd w:val="0"/>
              <w:snapToGrid w:val="0"/>
              <w:ind w:firstLine="420" w:firstLineChars="200"/>
              <w:rPr>
                <w:color w:val="auto"/>
              </w:rPr>
            </w:pPr>
            <w:r>
              <w:rPr>
                <w:rFonts w:hint="eastAsia"/>
                <w:color w:val="auto"/>
              </w:rPr>
              <w:t>……</w:t>
            </w:r>
          </w:p>
          <w:p>
            <w:pPr>
              <w:widowControl/>
              <w:numPr>
                <w:ilvl w:val="0"/>
                <w:numId w:val="2"/>
              </w:numPr>
              <w:adjustRightInd w:val="0"/>
              <w:snapToGrid w:val="0"/>
              <w:ind w:firstLine="420" w:firstLineChars="200"/>
              <w:rPr>
                <w:color w:val="auto"/>
              </w:rPr>
            </w:pPr>
            <w:r>
              <w:rPr>
                <w:rFonts w:hint="eastAsia"/>
                <w:color w:val="auto"/>
              </w:rPr>
              <w:t>矿山新招的井下作业人员和危险物品生产经营单位新招的危险工艺操作岗位人员，未经实习期满独立上岗作业的。</w:t>
            </w:r>
          </w:p>
          <w:p>
            <w:pPr>
              <w:pStyle w:val="2"/>
              <w:numPr>
                <w:ilvl w:val="255"/>
                <w:numId w:val="0"/>
              </w:numPr>
              <w:ind w:firstLine="420"/>
              <w:rPr>
                <w:rFonts w:eastAsia="宋体"/>
                <w:color w:val="auto"/>
              </w:rPr>
            </w:pPr>
            <w:r>
              <w:rPr>
                <w:rFonts w:hint="eastAsia" w:ascii="宋体" w:hAnsi="宋体" w:eastAsia="宋体" w:cs="宋体"/>
                <w:color w:val="auto"/>
                <w:kern w:val="0"/>
                <w:szCs w:val="21"/>
              </w:rPr>
              <w:t>……</w:t>
            </w: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294" w:hRule="atLeast"/>
          <w:jc w:val="center"/>
        </w:trPr>
        <w:tc>
          <w:tcPr>
            <w:tcW w:w="862" w:type="dxa"/>
            <w:vMerge w:val="restart"/>
            <w:vAlign w:val="center"/>
          </w:tcPr>
          <w:p>
            <w:pPr>
              <w:jc w:val="center"/>
              <w:rPr>
                <w:rFonts w:ascii="宋体" w:hAnsi="宋体" w:cs="宋体"/>
                <w:color w:val="auto"/>
                <w:kern w:val="0"/>
                <w:szCs w:val="21"/>
              </w:rPr>
            </w:pPr>
            <w:r>
              <w:rPr>
                <w:rFonts w:hint="eastAsia" w:ascii="宋体" w:hAnsi="宋体" w:cs="宋体"/>
                <w:color w:val="auto"/>
                <w:kern w:val="0"/>
                <w:szCs w:val="21"/>
              </w:rPr>
              <w:t>5</w:t>
            </w:r>
          </w:p>
        </w:tc>
        <w:tc>
          <w:tcPr>
            <w:tcW w:w="1777" w:type="dxa"/>
            <w:vMerge w:val="restart"/>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特种作业人员持证上岗情况</w:t>
            </w: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5.1 特种作业人员培训取证</w:t>
            </w:r>
          </w:p>
        </w:tc>
        <w:tc>
          <w:tcPr>
            <w:tcW w:w="4640"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第三十条　生产经营单位的特种作业人员必须按照国家有关规定经专门的安全作业培训，取得相应资格，方可上岗作业。</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特种作业人员的范围由国务院应急管理部门会同国务院有关部门确定。</w:t>
            </w:r>
          </w:p>
          <w:p>
            <w:pPr>
              <w:widowControl/>
              <w:adjustRightInd w:val="0"/>
              <w:snapToGrid w:val="0"/>
              <w:ind w:firstLine="420" w:firstLineChars="200"/>
              <w:rPr>
                <w:rFonts w:ascii="宋体" w:hAnsi="宋体" w:cs="宋体"/>
                <w:color w:val="auto"/>
                <w:kern w:val="0"/>
                <w:szCs w:val="21"/>
              </w:rPr>
            </w:pPr>
          </w:p>
        </w:tc>
        <w:tc>
          <w:tcPr>
            <w:tcW w:w="3918"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（七）特种作业人员未按照规定经专门的安全作业培训并取得相应资格，上岗作业的。</w:t>
            </w: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Merge w:val="continue"/>
            <w:vAlign w:val="center"/>
          </w:tcPr>
          <w:p>
            <w:pPr>
              <w:jc w:val="center"/>
              <w:rPr>
                <w:rFonts w:ascii="宋体" w:hAnsi="宋体" w:cs="宋体"/>
                <w:color w:val="auto"/>
                <w:kern w:val="0"/>
                <w:szCs w:val="21"/>
              </w:rPr>
            </w:pPr>
          </w:p>
        </w:tc>
        <w:tc>
          <w:tcPr>
            <w:tcW w:w="1777" w:type="dxa"/>
            <w:vMerge w:val="continue"/>
            <w:vAlign w:val="center"/>
          </w:tcPr>
          <w:p>
            <w:pPr>
              <w:widowControl/>
              <w:adjustRightInd w:val="0"/>
              <w:snapToGrid w:val="0"/>
              <w:rPr>
                <w:rFonts w:ascii="宋体" w:hAnsi="宋体" w:cs="宋体"/>
                <w:color w:val="auto"/>
                <w:kern w:val="0"/>
                <w:szCs w:val="21"/>
              </w:rPr>
            </w:pP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5.2 特种作业人员证书真实性</w:t>
            </w:r>
          </w:p>
        </w:tc>
        <w:tc>
          <w:tcPr>
            <w:tcW w:w="4640"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《特种作业人员安全技术培训考核管理规定》第三十六条  ……</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特种作业人员不得伪造、涂改、转借、转让、冒用特种作业操作证或者使用伪造的特种作业操作证。</w:t>
            </w:r>
          </w:p>
        </w:tc>
        <w:tc>
          <w:tcPr>
            <w:tcW w:w="3918"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《特种作业人员安全技术培训考核管理规定》第四十一条  特种作业人员伪造、涂改特种作业操作证或者使用伪造的特种作业操作证的，给予警告，并处1000元以上5000元以下的罚款。</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特种作业人员转借、转让、冒用特种作业操作证的，给予警告，并处2000元以上1万元以下的罚款。</w:t>
            </w: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035" w:hRule="atLeast"/>
          <w:jc w:val="center"/>
        </w:trPr>
        <w:tc>
          <w:tcPr>
            <w:tcW w:w="862" w:type="dxa"/>
            <w:vMerge w:val="restart"/>
            <w:vAlign w:val="center"/>
          </w:tcPr>
          <w:p>
            <w:pPr>
              <w:jc w:val="center"/>
              <w:rPr>
                <w:rFonts w:ascii="宋体" w:hAnsi="宋体" w:cs="宋体"/>
                <w:color w:val="auto"/>
                <w:kern w:val="0"/>
                <w:szCs w:val="21"/>
              </w:rPr>
            </w:pPr>
            <w:r>
              <w:rPr>
                <w:rFonts w:hint="eastAsia" w:ascii="宋体" w:hAnsi="宋体" w:cs="宋体"/>
                <w:color w:val="auto"/>
                <w:kern w:val="0"/>
                <w:szCs w:val="21"/>
              </w:rPr>
              <w:t>6</w:t>
            </w:r>
          </w:p>
        </w:tc>
        <w:tc>
          <w:tcPr>
            <w:tcW w:w="1777" w:type="dxa"/>
            <w:vMerge w:val="restart"/>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建设项目安全评价及建设项目安全设施“三同时”情况</w:t>
            </w: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6.1 高危建设项目安全评价</w:t>
            </w:r>
          </w:p>
        </w:tc>
        <w:tc>
          <w:tcPr>
            <w:tcW w:w="4640"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》第三十二条　矿山、金属冶炼建设项目和用于生产、储存、装卸危险物品的建设项目，应当按照国家有关规定进行安全评价。</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《建设项目安全设施“三同时”监督管理办法》第七条  下列建设项目在进行可行性研究时，生产经营单位应当按照国家规定，进行安全预评价：</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（一）非煤矿矿山建设项目；</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（二）生产、储存危险化学品（包括使用长输管道输送危险化学品，下同）的建设项目；</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（三）生产、储存烟花爆竹的建设项目；</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（四）金属冶炼建设项目；</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（五）使用危险化学品从事生产并且使用量达到规定数量的化工建设项目（属于危险化学品生产的除外，下同）；</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（六）法律、行政法规和国务院规定的其他建设项目。</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《建设项目安全设施“三同时”监督管理办法》第二十二条  本办法第七条规定的建设项目安全设施竣工或者试运行完成后，生产经营单位应当委托具有相应资质的安全评价机构对安全设施进行验收评价，并编制建设项目安全验收评价报告。</w:t>
            </w:r>
          </w:p>
          <w:p>
            <w:pPr>
              <w:widowControl/>
              <w:adjustRightInd w:val="0"/>
              <w:snapToGrid w:val="0"/>
              <w:ind w:firstLine="420" w:firstLineChars="200"/>
              <w:rPr>
                <w:color w:val="auto"/>
              </w:rPr>
            </w:pPr>
            <w:r>
              <w:rPr>
                <w:rFonts w:hint="eastAsia" w:ascii="宋体" w:hAnsi="宋体" w:cs="宋体"/>
                <w:color w:val="auto"/>
                <w:kern w:val="0"/>
                <w:szCs w:val="21"/>
              </w:rPr>
              <w:t>……</w:t>
            </w:r>
          </w:p>
        </w:tc>
        <w:tc>
          <w:tcPr>
            <w:tcW w:w="3918" w:type="dxa"/>
            <w:vAlign w:val="center"/>
          </w:tcPr>
          <w:p>
            <w:pPr>
              <w:widowControl/>
              <w:adjustRightInd w:val="0"/>
              <w:snapToGrid w:val="0"/>
              <w:ind w:firstLine="420" w:firstLineChars="200"/>
              <w:rPr>
                <w:rFonts w:hint="eastAsia"/>
                <w:color w:val="auto"/>
              </w:rPr>
            </w:pPr>
            <w:r>
              <w:rPr>
                <w:rFonts w:hint="eastAsia"/>
                <w:color w:val="auto"/>
              </w:rPr>
              <w:t>《</w:t>
            </w:r>
            <w:r>
              <w:rPr>
                <w:rFonts w:hint="eastAsia"/>
                <w:color w:val="auto"/>
                <w:lang w:eastAsia="zh-CN"/>
              </w:rPr>
              <w:t>中华人民共和国安全生产法</w:t>
            </w:r>
            <w:r>
              <w:rPr>
                <w:rFonts w:hint="eastAsia"/>
                <w:color w:val="auto"/>
              </w:rPr>
              <w:t>》</w:t>
            </w:r>
            <w:r>
              <w:rPr>
                <w:rFonts w:hint="eastAsia"/>
                <w:color w:val="auto"/>
                <w:lang w:val="en-US" w:eastAsia="zh-CN"/>
              </w:rPr>
              <w:t>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widowControl/>
              <w:numPr>
                <w:ilvl w:val="0"/>
                <w:numId w:val="3"/>
              </w:numPr>
              <w:adjustRightInd w:val="0"/>
              <w:snapToGrid w:val="0"/>
              <w:ind w:firstLine="420" w:firstLineChars="200"/>
              <w:rPr>
                <w:rFonts w:hint="eastAsia"/>
                <w:color w:val="auto"/>
                <w:lang w:val="en-US" w:eastAsia="zh-CN"/>
              </w:rPr>
            </w:pPr>
            <w:r>
              <w:rPr>
                <w:rFonts w:hint="eastAsia"/>
                <w:color w:val="auto"/>
                <w:lang w:val="en-US" w:eastAsia="zh-CN"/>
              </w:rPr>
              <w:t>未按照规定对矿山、金属冶炼建设项目或者用于生产、储存、装卸危险物品的建设项目进行安全评价的；</w:t>
            </w:r>
          </w:p>
          <w:p>
            <w:pPr>
              <w:pStyle w:val="2"/>
              <w:numPr>
                <w:ilvl w:val="0"/>
                <w:numId w:val="0"/>
              </w:numPr>
              <w:ind w:firstLine="420" w:firstLineChars="200"/>
              <w:rPr>
                <w:rFonts w:hint="eastAsia" w:eastAsia="仿宋_GB2312"/>
                <w:color w:val="auto"/>
                <w:lang w:val="en-US" w:eastAsia="zh-CN"/>
              </w:rPr>
            </w:pPr>
            <w:r>
              <w:rPr>
                <w:rFonts w:hint="eastAsia" w:ascii="宋体" w:hAnsi="宋体" w:cs="宋体"/>
                <w:color w:val="auto"/>
                <w:kern w:val="0"/>
                <w:szCs w:val="21"/>
              </w:rPr>
              <w:t>……</w:t>
            </w:r>
            <w:r>
              <w:rPr>
                <w:rFonts w:hint="eastAsia"/>
                <w:color w:val="auto"/>
                <w:lang w:val="en-US" w:eastAsia="zh-CN"/>
              </w:rPr>
              <w:t xml:space="preserve"> </w:t>
            </w:r>
          </w:p>
        </w:tc>
        <w:tc>
          <w:tcPr>
            <w:tcW w:w="819" w:type="dxa"/>
            <w:vMerge w:val="restart"/>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848" w:hRule="atLeast"/>
          <w:jc w:val="center"/>
        </w:trPr>
        <w:tc>
          <w:tcPr>
            <w:tcW w:w="862" w:type="dxa"/>
            <w:vMerge w:val="continue"/>
            <w:vAlign w:val="center"/>
          </w:tcPr>
          <w:p>
            <w:pPr>
              <w:jc w:val="center"/>
              <w:rPr>
                <w:rFonts w:ascii="宋体" w:hAnsi="宋体" w:cs="宋体"/>
                <w:color w:val="auto"/>
                <w:kern w:val="0"/>
                <w:szCs w:val="21"/>
              </w:rPr>
            </w:pPr>
          </w:p>
        </w:tc>
        <w:tc>
          <w:tcPr>
            <w:tcW w:w="1777" w:type="dxa"/>
            <w:vMerge w:val="continue"/>
            <w:vAlign w:val="center"/>
          </w:tcPr>
          <w:p>
            <w:pPr>
              <w:widowControl/>
              <w:adjustRightInd w:val="0"/>
              <w:snapToGrid w:val="0"/>
              <w:rPr>
                <w:rFonts w:ascii="宋体" w:hAnsi="宋体" w:cs="宋体"/>
                <w:color w:val="auto"/>
                <w:kern w:val="0"/>
                <w:szCs w:val="21"/>
              </w:rPr>
            </w:pP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6.2 高危建设项目安全设施设计审查</w:t>
            </w:r>
          </w:p>
        </w:tc>
        <w:tc>
          <w:tcPr>
            <w:tcW w:w="4640"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第三十三条　建设项目安全设施的设计人、设计单位应当对安全设施设计负责。</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矿山、金属冶炼建设项目和用于生产、储存、装卸危险物品的建设项目的安全设施设计应当按照国家有关规定报经有关部门审查，审查部门及其负责审查的人员对审查结果负责。</w:t>
            </w:r>
          </w:p>
          <w:p>
            <w:pPr>
              <w:widowControl/>
              <w:adjustRightInd w:val="0"/>
              <w:snapToGrid w:val="0"/>
              <w:rPr>
                <w:rFonts w:ascii="宋体" w:hAnsi="宋体" w:cs="宋体"/>
                <w:color w:val="auto"/>
                <w:kern w:val="0"/>
                <w:szCs w:val="21"/>
              </w:rPr>
            </w:pPr>
          </w:p>
        </w:tc>
        <w:tc>
          <w:tcPr>
            <w:tcW w:w="3918" w:type="dxa"/>
            <w:vAlign w:val="center"/>
          </w:tcPr>
          <w:p>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lang w:val="en-US" w:eastAsia="zh-CN"/>
              </w:rPr>
              <w:t>（二）矿山、金属冶炼建设项目或者用于生产、储存、装卸危险物品的建设项目没有安全设施设计或者安全设施设计未按照规定报经有关部门审查同意的；</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819" w:type="dxa"/>
            <w:vMerge w:val="continue"/>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825" w:hRule="atLeast"/>
          <w:jc w:val="center"/>
        </w:trPr>
        <w:tc>
          <w:tcPr>
            <w:tcW w:w="862" w:type="dxa"/>
            <w:vMerge w:val="continue"/>
            <w:vAlign w:val="center"/>
          </w:tcPr>
          <w:p>
            <w:pPr>
              <w:jc w:val="center"/>
              <w:rPr>
                <w:rFonts w:ascii="宋体" w:hAnsi="宋体" w:cs="宋体"/>
                <w:color w:val="auto"/>
                <w:kern w:val="0"/>
                <w:szCs w:val="21"/>
              </w:rPr>
            </w:pPr>
          </w:p>
        </w:tc>
        <w:tc>
          <w:tcPr>
            <w:tcW w:w="1777" w:type="dxa"/>
            <w:vMerge w:val="continue"/>
            <w:vAlign w:val="center"/>
          </w:tcPr>
          <w:p>
            <w:pPr>
              <w:widowControl/>
              <w:adjustRightInd w:val="0"/>
              <w:snapToGrid w:val="0"/>
              <w:rPr>
                <w:rFonts w:ascii="宋体" w:hAnsi="宋体" w:cs="宋体"/>
                <w:color w:val="auto"/>
                <w:kern w:val="0"/>
                <w:szCs w:val="21"/>
              </w:rPr>
            </w:pP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6.3 高危建设项目安全设施设计重新审查</w:t>
            </w:r>
          </w:p>
        </w:tc>
        <w:tc>
          <w:tcPr>
            <w:tcW w:w="4640"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《建设项目安全设施“三同时”监督管理办法》第十五条  已经批准的建设项目及其安全设施设计有下列情形之一的，生产经营单位应当报原批准部门审查同意；未经审查同意的，不得开工建设：</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（一）建设项目的规模、生产工艺、原料、设备发生重大变更的；</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（二）改变安全设施设计且可能降低安全性能的；</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（三）在施工期间重新设计的。</w:t>
            </w:r>
          </w:p>
        </w:tc>
        <w:tc>
          <w:tcPr>
            <w:tcW w:w="3918"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《建设项目安全设施“三同时”监督管理办法》第二十九条  已经批准的建设项目安全设施设计发生重大变更，生产经营单位未报原批准部门审查同意擅自开工建设的，责令限期改正，可以并处1万元以上3万元以下的罚款。</w:t>
            </w:r>
          </w:p>
        </w:tc>
        <w:tc>
          <w:tcPr>
            <w:tcW w:w="819" w:type="dxa"/>
            <w:vMerge w:val="continue"/>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035" w:hRule="atLeast"/>
          <w:jc w:val="center"/>
        </w:trPr>
        <w:tc>
          <w:tcPr>
            <w:tcW w:w="862" w:type="dxa"/>
            <w:vMerge w:val="continue"/>
            <w:vAlign w:val="center"/>
          </w:tcPr>
          <w:p>
            <w:pPr>
              <w:jc w:val="center"/>
              <w:rPr>
                <w:rFonts w:ascii="宋体" w:hAnsi="宋体" w:cs="宋体"/>
                <w:color w:val="auto"/>
                <w:kern w:val="0"/>
                <w:szCs w:val="21"/>
              </w:rPr>
            </w:pPr>
          </w:p>
        </w:tc>
        <w:tc>
          <w:tcPr>
            <w:tcW w:w="1777" w:type="dxa"/>
            <w:vMerge w:val="continue"/>
            <w:vAlign w:val="center"/>
          </w:tcPr>
          <w:p>
            <w:pPr>
              <w:widowControl/>
              <w:adjustRightInd w:val="0"/>
              <w:snapToGrid w:val="0"/>
              <w:rPr>
                <w:rFonts w:ascii="宋体" w:hAnsi="宋体" w:cs="宋体"/>
                <w:color w:val="auto"/>
                <w:kern w:val="0"/>
                <w:szCs w:val="21"/>
              </w:rPr>
            </w:pP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6.4 高危建设项目安全设施按照批准的设计施工</w:t>
            </w:r>
          </w:p>
        </w:tc>
        <w:tc>
          <w:tcPr>
            <w:tcW w:w="4640"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第三十四条　矿山、金属冶炼建设项目和用于生产、储存、装卸危险物品的建设项目的施工单位必须按照批准的安全设施设计施工，并对安全设施的工程质量负责。</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3918" w:type="dxa"/>
            <w:vAlign w:val="center"/>
          </w:tcPr>
          <w:p>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（三）矿山、金属冶炼建设项目或者用于生产、储存、装卸危险物品的建设项目的施工单位未按照批准的安全设施设计施工的；</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819" w:type="dxa"/>
            <w:vMerge w:val="continue"/>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195" w:hRule="atLeast"/>
          <w:jc w:val="center"/>
        </w:trPr>
        <w:tc>
          <w:tcPr>
            <w:tcW w:w="862" w:type="dxa"/>
            <w:vMerge w:val="restart"/>
            <w:vAlign w:val="center"/>
          </w:tcPr>
          <w:p>
            <w:pPr>
              <w:jc w:val="center"/>
              <w:rPr>
                <w:rFonts w:ascii="宋体" w:hAnsi="宋体" w:cs="宋体"/>
                <w:color w:val="auto"/>
                <w:kern w:val="0"/>
                <w:szCs w:val="21"/>
              </w:rPr>
            </w:pPr>
          </w:p>
        </w:tc>
        <w:tc>
          <w:tcPr>
            <w:tcW w:w="1777" w:type="dxa"/>
            <w:vMerge w:val="continue"/>
            <w:vAlign w:val="center"/>
          </w:tcPr>
          <w:p>
            <w:pPr>
              <w:widowControl/>
              <w:adjustRightInd w:val="0"/>
              <w:snapToGrid w:val="0"/>
              <w:rPr>
                <w:rFonts w:ascii="宋体" w:hAnsi="宋体" w:cs="宋体"/>
                <w:color w:val="auto"/>
                <w:kern w:val="0"/>
                <w:szCs w:val="21"/>
              </w:rPr>
            </w:pP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6.5 高危建设项目安全设施竣工验收</w:t>
            </w:r>
          </w:p>
        </w:tc>
        <w:tc>
          <w:tcPr>
            <w:tcW w:w="4640"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》第三十</w:t>
            </w:r>
            <w:r>
              <w:rPr>
                <w:rFonts w:hint="eastAsia" w:ascii="宋体" w:hAnsi="宋体" w:cs="宋体"/>
                <w:color w:val="auto"/>
                <w:kern w:val="0"/>
                <w:szCs w:val="21"/>
                <w:lang w:eastAsia="zh-CN"/>
              </w:rPr>
              <w:t>四</w:t>
            </w:r>
            <w:r>
              <w:rPr>
                <w:rFonts w:hint="eastAsia" w:ascii="宋体" w:hAnsi="宋体" w:cs="宋体"/>
                <w:color w:val="auto"/>
                <w:kern w:val="0"/>
                <w:szCs w:val="21"/>
              </w:rPr>
              <w:t>条：  ……</w:t>
            </w:r>
          </w:p>
          <w:p>
            <w:pPr>
              <w:widowControl/>
              <w:adjustRightInd w:val="0"/>
              <w:snapToGrid w:val="0"/>
              <w:ind w:firstLine="420" w:firstLineChars="200"/>
              <w:rPr>
                <w:rFonts w:ascii="宋体" w:hAnsi="宋体" w:cs="宋体"/>
                <w:color w:val="auto"/>
                <w:kern w:val="0"/>
                <w:szCs w:val="21"/>
              </w:rPr>
            </w:pPr>
            <w:r>
              <w:rPr>
                <w:rFonts w:ascii="宋体" w:hAnsi="宋体" w:cs="宋体"/>
                <w:color w:val="auto"/>
                <w:kern w:val="0"/>
                <w:szCs w:val="21"/>
                <w:lang w:val="en-US" w:eastAsia="zh-CN"/>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widowControl/>
              <w:adjustRightInd w:val="0"/>
              <w:snapToGrid w:val="0"/>
              <w:ind w:firstLine="420" w:firstLineChars="200"/>
              <w:rPr>
                <w:rFonts w:ascii="宋体" w:hAnsi="宋体" w:cs="宋体"/>
                <w:color w:val="auto"/>
                <w:kern w:val="0"/>
                <w:szCs w:val="21"/>
              </w:rPr>
            </w:pPr>
          </w:p>
        </w:tc>
        <w:tc>
          <w:tcPr>
            <w:tcW w:w="3918" w:type="dxa"/>
            <w:vAlign w:val="center"/>
          </w:tcPr>
          <w:p>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p>
            <w:pPr>
              <w:widowControl/>
              <w:adjustRightInd w:val="0"/>
              <w:snapToGrid w:val="0"/>
              <w:ind w:firstLine="420" w:firstLineChars="200"/>
              <w:rPr>
                <w:rFonts w:ascii="宋体" w:hAnsi="宋体" w:cs="宋体"/>
                <w:color w:val="auto"/>
                <w:kern w:val="0"/>
                <w:szCs w:val="21"/>
              </w:rPr>
            </w:pPr>
            <w:r>
              <w:rPr>
                <w:rFonts w:ascii="宋体" w:hAnsi="宋体" w:cs="宋体"/>
                <w:color w:val="auto"/>
                <w:kern w:val="0"/>
                <w:szCs w:val="21"/>
                <w:lang w:val="en-US" w:eastAsia="zh-CN"/>
              </w:rPr>
              <w:t>（四）矿山、金属冶炼建设项目或者用于生产、储存、装卸危险物品的建设项目竣工投入生产或者使用前，安全设施未经验收合格的。</w:t>
            </w: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035" w:hRule="atLeast"/>
          <w:jc w:val="center"/>
        </w:trPr>
        <w:tc>
          <w:tcPr>
            <w:tcW w:w="862" w:type="dxa"/>
            <w:vMerge w:val="continue"/>
            <w:vAlign w:val="center"/>
          </w:tcPr>
          <w:p>
            <w:pPr>
              <w:jc w:val="center"/>
              <w:rPr>
                <w:rFonts w:ascii="宋体" w:hAnsi="宋体" w:cs="宋体"/>
                <w:color w:val="auto"/>
                <w:kern w:val="0"/>
                <w:szCs w:val="21"/>
              </w:rPr>
            </w:pPr>
          </w:p>
        </w:tc>
        <w:tc>
          <w:tcPr>
            <w:tcW w:w="1777" w:type="dxa"/>
            <w:vMerge w:val="continue"/>
            <w:vAlign w:val="center"/>
          </w:tcPr>
          <w:p>
            <w:pPr>
              <w:widowControl/>
              <w:adjustRightInd w:val="0"/>
              <w:snapToGrid w:val="0"/>
              <w:rPr>
                <w:rFonts w:ascii="宋体" w:hAnsi="宋体" w:cs="宋体"/>
                <w:color w:val="auto"/>
                <w:kern w:val="0"/>
                <w:szCs w:val="21"/>
              </w:rPr>
            </w:pP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6.6 其他建设项目安全设施“三同时”</w:t>
            </w:r>
          </w:p>
        </w:tc>
        <w:tc>
          <w:tcPr>
            <w:tcW w:w="4640"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《建设项目安全设施“三同时”监督管理办法》第七条  下列建设项目在进行可行性研究时，生产经营单位应当按照国家规定，进行安全预评价：</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（一）非煤矿矿山建设项目；</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（二）生产、储存危险化学品（包括使用长输管道输送危险化学品，下同）的建设项目；</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（三）生产、储存烟花爆竹的建设项目；</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（四）金属冶炼建设项目；</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（五）使用危险化学品从事生产并且使用量达到规定数量的化工建设项目（属于危险化学品生产的除外，下同）；</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（六）法律、行政法规和国务院规定的其他建设项目。</w:t>
            </w:r>
          </w:p>
        </w:tc>
        <w:tc>
          <w:tcPr>
            <w:tcW w:w="3918"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《建设项目安全设施“三同时”监督管理办法》第三十条  本办法第七条第（一）项、第（二）项、第（三）项和第（四）项规定以外的建设项目有下列情形之一的，对有关生产经营单位责令限期改正，可以并处5000元以上3万元以下的罚款：</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（一）没有安全设施设计的；</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（二）安全设施设计未组织审查，并形成书面审查报告的；</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（三）施工单位未按照安全设施设计施工的；</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（四）投入生产或者使用前，安全设施未经竣工验收合格，并形成书面报告的。</w:t>
            </w: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329" w:hRule="atLeast"/>
          <w:jc w:val="center"/>
        </w:trPr>
        <w:tc>
          <w:tcPr>
            <w:tcW w:w="862" w:type="dxa"/>
            <w:vAlign w:val="center"/>
          </w:tcPr>
          <w:p>
            <w:pPr>
              <w:jc w:val="center"/>
              <w:rPr>
                <w:rFonts w:ascii="宋体" w:hAnsi="宋体" w:cs="宋体"/>
                <w:color w:val="auto"/>
                <w:kern w:val="0"/>
                <w:szCs w:val="21"/>
              </w:rPr>
            </w:pPr>
            <w:r>
              <w:rPr>
                <w:rFonts w:hint="eastAsia" w:ascii="宋体" w:hAnsi="宋体" w:cs="宋体"/>
                <w:color w:val="auto"/>
                <w:kern w:val="0"/>
                <w:szCs w:val="21"/>
              </w:rPr>
              <w:t>7</w:t>
            </w:r>
          </w:p>
        </w:tc>
        <w:tc>
          <w:tcPr>
            <w:tcW w:w="1777"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安全警示标志情况</w:t>
            </w: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在有较大危险因素的场所和有关设施、设备上设置安全警示标志</w:t>
            </w:r>
          </w:p>
        </w:tc>
        <w:tc>
          <w:tcPr>
            <w:tcW w:w="4640"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第三十五条　生产经营单位应当在有较大危险因素的生产经营场所和有关设施、设备上，设置明显的安全警示标志。</w:t>
            </w:r>
          </w:p>
          <w:p>
            <w:pPr>
              <w:widowControl/>
              <w:adjustRightInd w:val="0"/>
              <w:snapToGrid w:val="0"/>
              <w:ind w:firstLine="420" w:firstLineChars="200"/>
              <w:rPr>
                <w:rFonts w:ascii="宋体" w:hAnsi="宋体" w:cs="宋体"/>
                <w:color w:val="auto"/>
                <w:kern w:val="0"/>
                <w:szCs w:val="21"/>
              </w:rPr>
            </w:pPr>
          </w:p>
        </w:tc>
        <w:tc>
          <w:tcPr>
            <w:tcW w:w="3918"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（一）未在有较大危险因素的生产经营场所和有关设施、设备上设置明显的安全警示标志的；</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90" w:hRule="atLeast"/>
          <w:jc w:val="center"/>
        </w:trPr>
        <w:tc>
          <w:tcPr>
            <w:tcW w:w="862" w:type="dxa"/>
            <w:vMerge w:val="restart"/>
            <w:vAlign w:val="center"/>
          </w:tcPr>
          <w:p>
            <w:pPr>
              <w:jc w:val="center"/>
              <w:rPr>
                <w:rFonts w:ascii="宋体" w:hAnsi="宋体" w:cs="宋体"/>
                <w:color w:val="auto"/>
                <w:kern w:val="0"/>
                <w:szCs w:val="21"/>
              </w:rPr>
            </w:pPr>
            <w:r>
              <w:rPr>
                <w:rFonts w:hint="eastAsia" w:ascii="宋体" w:hAnsi="宋体" w:cs="宋体"/>
                <w:color w:val="auto"/>
                <w:kern w:val="0"/>
                <w:szCs w:val="21"/>
              </w:rPr>
              <w:t>8</w:t>
            </w:r>
          </w:p>
        </w:tc>
        <w:tc>
          <w:tcPr>
            <w:tcW w:w="1777" w:type="dxa"/>
            <w:vMerge w:val="restart"/>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安全设备情况</w:t>
            </w: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8.1 安全设备安装、使用、报废</w:t>
            </w:r>
          </w:p>
        </w:tc>
        <w:tc>
          <w:tcPr>
            <w:tcW w:w="4640"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第三十六条　安全设备的设计、制造、安装、使用、检测、维修、改造和报废，应当符合国家标准或者行业标准。</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3918"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（二）安全设备的安装、使用、检测、改造和报废不符合国家标准或者行业标准的；</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819" w:type="dxa"/>
            <w:vMerge w:val="restart"/>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795" w:hRule="atLeast"/>
          <w:jc w:val="center"/>
        </w:trPr>
        <w:tc>
          <w:tcPr>
            <w:tcW w:w="862" w:type="dxa"/>
            <w:vMerge w:val="continue"/>
            <w:vAlign w:val="center"/>
          </w:tcPr>
          <w:p>
            <w:pPr>
              <w:jc w:val="center"/>
              <w:rPr>
                <w:rFonts w:ascii="宋体" w:hAnsi="宋体" w:cs="宋体"/>
                <w:color w:val="auto"/>
                <w:kern w:val="0"/>
                <w:szCs w:val="21"/>
              </w:rPr>
            </w:pPr>
          </w:p>
        </w:tc>
        <w:tc>
          <w:tcPr>
            <w:tcW w:w="1777" w:type="dxa"/>
            <w:vMerge w:val="continue"/>
            <w:vAlign w:val="center"/>
          </w:tcPr>
          <w:p>
            <w:pPr>
              <w:widowControl/>
              <w:adjustRightInd w:val="0"/>
              <w:snapToGrid w:val="0"/>
              <w:rPr>
                <w:rFonts w:ascii="宋体" w:hAnsi="宋体" w:cs="宋体"/>
                <w:color w:val="auto"/>
                <w:kern w:val="0"/>
                <w:szCs w:val="21"/>
              </w:rPr>
            </w:pP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8.2 安全设备维护、保养、检测</w:t>
            </w:r>
          </w:p>
        </w:tc>
        <w:tc>
          <w:tcPr>
            <w:tcW w:w="4640"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》第三十</w:t>
            </w:r>
            <w:r>
              <w:rPr>
                <w:rFonts w:hint="eastAsia" w:ascii="宋体" w:hAnsi="宋体" w:cs="宋体"/>
                <w:color w:val="auto"/>
                <w:kern w:val="0"/>
                <w:szCs w:val="21"/>
                <w:lang w:eastAsia="zh-CN"/>
              </w:rPr>
              <w:t>六</w:t>
            </w:r>
            <w:r>
              <w:rPr>
                <w:rFonts w:hint="eastAsia" w:ascii="宋体" w:hAnsi="宋体" w:cs="宋体"/>
                <w:color w:val="auto"/>
                <w:kern w:val="0"/>
                <w:szCs w:val="21"/>
              </w:rPr>
              <w:t>条  ……</w:t>
            </w:r>
          </w:p>
          <w:p>
            <w:pPr>
              <w:widowControl/>
              <w:adjustRightInd w:val="0"/>
              <w:snapToGrid w:val="0"/>
              <w:ind w:firstLine="420" w:firstLineChars="200"/>
              <w:rPr>
                <w:rFonts w:ascii="宋体" w:hAnsi="宋体" w:cs="宋体"/>
                <w:color w:val="auto"/>
                <w:kern w:val="0"/>
                <w:szCs w:val="21"/>
              </w:rPr>
            </w:pPr>
            <w:r>
              <w:rPr>
                <w:rFonts w:ascii="宋体" w:hAnsi="宋体" w:cs="宋体"/>
                <w:color w:val="auto"/>
                <w:kern w:val="0"/>
                <w:szCs w:val="21"/>
                <w:lang w:val="en-US" w:eastAsia="zh-CN"/>
              </w:rPr>
              <w:t>生产经营单位必须对安全设备进行经常性维护、保养，并定期检测，保证正常运转。维护、保养、检测应当作好记录，并由有关人员签字。</w:t>
            </w:r>
          </w:p>
          <w:p>
            <w:pPr>
              <w:widowControl/>
              <w:adjustRightInd w:val="0"/>
              <w:snapToGrid w:val="0"/>
              <w:ind w:firstLine="420" w:firstLineChars="200"/>
              <w:rPr>
                <w:rFonts w:ascii="宋体" w:hAnsi="宋体" w:cs="宋体"/>
                <w:color w:val="auto"/>
                <w:kern w:val="0"/>
                <w:szCs w:val="21"/>
              </w:rPr>
            </w:pPr>
          </w:p>
        </w:tc>
        <w:tc>
          <w:tcPr>
            <w:tcW w:w="3918"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（三）未对安全设备进行经常性维护、保养和定期检测的；</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819" w:type="dxa"/>
            <w:vMerge w:val="continue"/>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23" w:hRule="atLeast"/>
          <w:jc w:val="center"/>
        </w:trPr>
        <w:tc>
          <w:tcPr>
            <w:tcW w:w="862" w:type="dxa"/>
            <w:vAlign w:val="center"/>
          </w:tcPr>
          <w:p>
            <w:pPr>
              <w:jc w:val="center"/>
              <w:rPr>
                <w:rFonts w:ascii="宋体" w:hAnsi="宋体" w:cs="宋体"/>
                <w:color w:val="auto"/>
                <w:kern w:val="0"/>
                <w:szCs w:val="21"/>
              </w:rPr>
            </w:pPr>
            <w:r>
              <w:rPr>
                <w:rFonts w:hint="eastAsia" w:ascii="宋体" w:hAnsi="宋体" w:cs="宋体"/>
                <w:color w:val="auto"/>
                <w:kern w:val="0"/>
                <w:szCs w:val="21"/>
              </w:rPr>
              <w:t>9</w:t>
            </w:r>
          </w:p>
        </w:tc>
        <w:tc>
          <w:tcPr>
            <w:tcW w:w="1777"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重大危险源安全管理情况</w:t>
            </w: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重大危险源登记建档，定期检测、评估、监控，制定应急预案</w:t>
            </w:r>
          </w:p>
        </w:tc>
        <w:tc>
          <w:tcPr>
            <w:tcW w:w="4640"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第四十条　生产经营单位对重大危险源应当登记建档，进行定期检测、评估、监控，并制定应急预案，告知从业人员和相关人员在紧急情况下应当采取的应急措施。</w:t>
            </w:r>
          </w:p>
          <w:p>
            <w:pPr>
              <w:widowControl/>
              <w:adjustRightInd w:val="0"/>
              <w:snapToGrid w:val="0"/>
              <w:ind w:firstLine="420" w:firstLineChars="200"/>
              <w:rPr>
                <w:rFonts w:hint="eastAsia" w:ascii="宋体" w:hAnsi="宋体" w:cs="宋体"/>
                <w:strike/>
                <w:dstrike w:val="0"/>
                <w:color w:val="auto"/>
                <w:kern w:val="0"/>
                <w:szCs w:val="21"/>
              </w:rPr>
            </w:pPr>
          </w:p>
          <w:p>
            <w:pPr>
              <w:widowControl/>
              <w:adjustRightInd w:val="0"/>
              <w:snapToGrid w:val="0"/>
              <w:rPr>
                <w:rFonts w:ascii="宋体" w:hAnsi="宋体" w:cs="宋体"/>
                <w:color w:val="auto"/>
                <w:kern w:val="0"/>
                <w:szCs w:val="21"/>
              </w:rPr>
            </w:pPr>
          </w:p>
        </w:tc>
        <w:tc>
          <w:tcPr>
            <w:tcW w:w="3918"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（二）对重大危险源未登记建档，未进行定期检测、评估、监控，未制定应急预案，或者未告知应急措施的；</w:t>
            </w:r>
          </w:p>
          <w:p>
            <w:pPr>
              <w:widowControl/>
              <w:adjustRightInd w:val="0"/>
              <w:snapToGrid w:val="0"/>
              <w:ind w:firstLine="420" w:firstLineChars="200"/>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w:t>
            </w: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605" w:hRule="atLeast"/>
          <w:jc w:val="center"/>
        </w:trPr>
        <w:tc>
          <w:tcPr>
            <w:tcW w:w="862" w:type="dxa"/>
            <w:vMerge w:val="restart"/>
            <w:vAlign w:val="center"/>
          </w:tcPr>
          <w:p>
            <w:pPr>
              <w:jc w:val="center"/>
              <w:rPr>
                <w:rFonts w:ascii="宋体" w:hAnsi="宋体" w:cs="宋体"/>
                <w:color w:val="auto"/>
                <w:kern w:val="0"/>
                <w:szCs w:val="21"/>
              </w:rPr>
            </w:pPr>
            <w:r>
              <w:rPr>
                <w:rFonts w:hint="eastAsia" w:ascii="宋体" w:hAnsi="宋体" w:cs="宋体"/>
                <w:color w:val="auto"/>
                <w:kern w:val="0"/>
                <w:szCs w:val="21"/>
              </w:rPr>
              <w:t>10</w:t>
            </w:r>
          </w:p>
        </w:tc>
        <w:tc>
          <w:tcPr>
            <w:tcW w:w="1777" w:type="dxa"/>
            <w:vMerge w:val="restart"/>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事故隐患排查治理情况</w:t>
            </w: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10.1 建立健全生产安全事故隐患排查治理制度</w:t>
            </w:r>
          </w:p>
        </w:tc>
        <w:tc>
          <w:tcPr>
            <w:tcW w:w="4640"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第四十一条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widowControl/>
              <w:adjustRightInd w:val="0"/>
              <w:snapToGrid w:val="0"/>
              <w:rPr>
                <w:rFonts w:ascii="宋体" w:hAnsi="宋体" w:cs="宋体"/>
                <w:color w:val="auto"/>
                <w:kern w:val="0"/>
                <w:szCs w:val="21"/>
              </w:rPr>
            </w:pPr>
            <w:r>
              <w:rPr>
                <w:rFonts w:hint="eastAsia" w:ascii="宋体" w:hAnsi="宋体" w:cs="宋体"/>
                <w:color w:val="auto"/>
                <w:kern w:val="0"/>
                <w:szCs w:val="21"/>
              </w:rPr>
              <w:t xml:space="preserve">    ……</w:t>
            </w:r>
          </w:p>
        </w:tc>
        <w:tc>
          <w:tcPr>
            <w:tcW w:w="3918"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w:t>
            </w:r>
          </w:p>
          <w:p>
            <w:pPr>
              <w:widowControl/>
              <w:adjustRightInd w:val="0"/>
              <w:snapToGrid w:val="0"/>
              <w:ind w:firstLine="420" w:firstLineChars="200"/>
              <w:rPr>
                <w:rFonts w:ascii="宋体" w:hAnsi="宋体" w:cs="宋体"/>
                <w:color w:val="auto"/>
                <w:kern w:val="0"/>
                <w:szCs w:val="21"/>
              </w:rPr>
            </w:pPr>
            <w:r>
              <w:rPr>
                <w:rFonts w:ascii="宋体" w:hAnsi="宋体" w:cs="宋体"/>
                <w:color w:val="auto"/>
                <w:kern w:val="0"/>
                <w:szCs w:val="21"/>
                <w:lang w:val="en-US" w:eastAsia="zh-CN"/>
              </w:rPr>
              <w:t>（五）未建立事故隐患排查治理制度，或者重大事故隐患排查治理情况未按照规定报告的。</w:t>
            </w:r>
          </w:p>
          <w:p>
            <w:pPr>
              <w:widowControl/>
              <w:adjustRightInd w:val="0"/>
              <w:snapToGrid w:val="0"/>
              <w:ind w:firstLine="420" w:firstLineChars="200"/>
              <w:rPr>
                <w:rFonts w:ascii="宋体" w:hAnsi="宋体" w:cs="宋体"/>
                <w:color w:val="auto"/>
                <w:kern w:val="0"/>
                <w:szCs w:val="21"/>
              </w:rPr>
            </w:pPr>
          </w:p>
        </w:tc>
        <w:tc>
          <w:tcPr>
            <w:tcW w:w="819" w:type="dxa"/>
            <w:vMerge w:val="restart"/>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878" w:hRule="atLeast"/>
          <w:jc w:val="center"/>
        </w:trPr>
        <w:tc>
          <w:tcPr>
            <w:tcW w:w="862" w:type="dxa"/>
            <w:vMerge w:val="continue"/>
            <w:vAlign w:val="center"/>
          </w:tcPr>
          <w:p>
            <w:pPr>
              <w:jc w:val="center"/>
              <w:rPr>
                <w:rFonts w:ascii="宋体" w:hAnsi="宋体" w:cs="宋体"/>
                <w:color w:val="auto"/>
                <w:kern w:val="0"/>
                <w:szCs w:val="21"/>
              </w:rPr>
            </w:pPr>
          </w:p>
        </w:tc>
        <w:tc>
          <w:tcPr>
            <w:tcW w:w="1777" w:type="dxa"/>
            <w:vMerge w:val="continue"/>
            <w:vAlign w:val="center"/>
          </w:tcPr>
          <w:p>
            <w:pPr>
              <w:widowControl/>
              <w:adjustRightInd w:val="0"/>
              <w:snapToGrid w:val="0"/>
              <w:rPr>
                <w:rFonts w:ascii="宋体" w:hAnsi="宋体" w:cs="宋体"/>
                <w:color w:val="auto"/>
                <w:kern w:val="0"/>
                <w:szCs w:val="21"/>
              </w:rPr>
            </w:pP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10.2 采取措施消除事故隐患</w:t>
            </w:r>
          </w:p>
        </w:tc>
        <w:tc>
          <w:tcPr>
            <w:tcW w:w="4640"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第四十一条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3918"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widowControl/>
              <w:adjustRightInd w:val="0"/>
              <w:snapToGrid w:val="0"/>
              <w:ind w:firstLine="420" w:firstLineChars="200"/>
              <w:rPr>
                <w:rFonts w:ascii="宋体" w:hAnsi="宋体" w:cs="宋体"/>
                <w:color w:val="auto"/>
                <w:kern w:val="0"/>
                <w:szCs w:val="21"/>
              </w:rPr>
            </w:pPr>
          </w:p>
        </w:tc>
        <w:tc>
          <w:tcPr>
            <w:tcW w:w="819" w:type="dxa"/>
            <w:vMerge w:val="continue"/>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422" w:hRule="atLeast"/>
          <w:jc w:val="center"/>
        </w:trPr>
        <w:tc>
          <w:tcPr>
            <w:tcW w:w="862" w:type="dxa"/>
            <w:vMerge w:val="continue"/>
            <w:vAlign w:val="center"/>
          </w:tcPr>
          <w:p>
            <w:pPr>
              <w:jc w:val="center"/>
              <w:rPr>
                <w:rFonts w:ascii="宋体" w:hAnsi="宋体" w:cs="宋体"/>
                <w:color w:val="auto"/>
                <w:kern w:val="0"/>
                <w:szCs w:val="21"/>
              </w:rPr>
            </w:pPr>
          </w:p>
        </w:tc>
        <w:tc>
          <w:tcPr>
            <w:tcW w:w="1777" w:type="dxa"/>
            <w:vMerge w:val="continue"/>
            <w:vAlign w:val="center"/>
          </w:tcPr>
          <w:p>
            <w:pPr>
              <w:widowControl/>
              <w:adjustRightInd w:val="0"/>
              <w:snapToGrid w:val="0"/>
              <w:rPr>
                <w:rFonts w:ascii="宋体" w:hAnsi="宋体" w:cs="宋体"/>
                <w:color w:val="auto"/>
                <w:kern w:val="0"/>
                <w:szCs w:val="21"/>
              </w:rPr>
            </w:pP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10.3 如实记录事故隐患排查治理情况并向从业人员通报</w:t>
            </w:r>
          </w:p>
        </w:tc>
        <w:tc>
          <w:tcPr>
            <w:tcW w:w="4640"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第四十一条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3918"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（五）未将事故隐患排查治理情况如实记录或者未向从业人员通报的；</w:t>
            </w:r>
          </w:p>
          <w:p>
            <w:pPr>
              <w:widowControl/>
              <w:adjustRightInd w:val="0"/>
              <w:snapToGrid w:val="0"/>
              <w:ind w:firstLine="420" w:firstLineChars="200"/>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w:t>
            </w:r>
          </w:p>
        </w:tc>
        <w:tc>
          <w:tcPr>
            <w:tcW w:w="819" w:type="dxa"/>
            <w:vMerge w:val="continue"/>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038" w:hRule="atLeast"/>
          <w:jc w:val="center"/>
        </w:trPr>
        <w:tc>
          <w:tcPr>
            <w:tcW w:w="862" w:type="dxa"/>
            <w:vMerge w:val="continue"/>
            <w:vAlign w:val="center"/>
          </w:tcPr>
          <w:p>
            <w:pPr>
              <w:jc w:val="center"/>
              <w:rPr>
                <w:rFonts w:ascii="宋体" w:hAnsi="宋体" w:cs="宋体"/>
                <w:color w:val="auto"/>
                <w:kern w:val="0"/>
                <w:szCs w:val="21"/>
              </w:rPr>
            </w:pPr>
          </w:p>
        </w:tc>
        <w:tc>
          <w:tcPr>
            <w:tcW w:w="1777" w:type="dxa"/>
            <w:vMerge w:val="continue"/>
            <w:vAlign w:val="center"/>
          </w:tcPr>
          <w:p>
            <w:pPr>
              <w:widowControl/>
              <w:adjustRightInd w:val="0"/>
              <w:snapToGrid w:val="0"/>
              <w:rPr>
                <w:rFonts w:ascii="宋体" w:hAnsi="宋体" w:cs="宋体"/>
                <w:color w:val="auto"/>
                <w:kern w:val="0"/>
                <w:szCs w:val="21"/>
              </w:rPr>
            </w:pP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10.4 重大事故隐患报告</w:t>
            </w:r>
          </w:p>
        </w:tc>
        <w:tc>
          <w:tcPr>
            <w:tcW w:w="4640" w:type="dxa"/>
            <w:vAlign w:val="center"/>
          </w:tcPr>
          <w:p>
            <w:pPr>
              <w:widowControl/>
              <w:adjustRightInd w:val="0"/>
              <w:snapToGrid w:val="0"/>
              <w:ind w:firstLine="420" w:firstLineChars="200"/>
              <w:rPr>
                <w:rFonts w:hint="eastAsia"/>
                <w:color w:val="auto"/>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中华人民共和国安全生产法</w:t>
            </w:r>
            <w:r>
              <w:rPr>
                <w:rFonts w:hint="eastAsia" w:ascii="宋体" w:hAnsi="宋体" w:cs="宋体"/>
                <w:color w:val="auto"/>
                <w:kern w:val="0"/>
                <w:szCs w:val="21"/>
                <w:lang w:eastAsia="zh-CN"/>
              </w:rPr>
              <w:t>》</w:t>
            </w:r>
            <w:r>
              <w:rPr>
                <w:rFonts w:hint="eastAsia"/>
                <w:color w:val="auto"/>
              </w:rPr>
              <w:t>第四十一条　生产经营单位应当建立安全风险分级管控制度，按照安全风险分级采取相应的管控措施。</w:t>
            </w:r>
          </w:p>
          <w:p>
            <w:pPr>
              <w:widowControl/>
              <w:adjustRightInd w:val="0"/>
              <w:snapToGrid w:val="0"/>
              <w:ind w:firstLine="420" w:firstLineChars="200"/>
              <w:rPr>
                <w:color w:val="auto"/>
              </w:rPr>
            </w:pPr>
            <w:r>
              <w:rPr>
                <w:rFonts w:hint="eastAsia"/>
                <w:color w:val="auto"/>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3918"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中华人民共和国安全生产法</w:t>
            </w:r>
            <w:r>
              <w:rPr>
                <w:rFonts w:hint="eastAsia" w:ascii="宋体" w:hAnsi="宋体" w:cs="宋体"/>
                <w:color w:val="auto"/>
                <w:kern w:val="0"/>
                <w:szCs w:val="21"/>
                <w:lang w:eastAsia="zh-CN"/>
              </w:rPr>
              <w:t>》</w:t>
            </w:r>
            <w:r>
              <w:rPr>
                <w:rFonts w:hint="eastAsia" w:ascii="宋体" w:hAnsi="宋体" w:cs="宋体"/>
                <w:color w:val="auto"/>
                <w:kern w:val="0"/>
                <w:szCs w:val="21"/>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（五）重大事故隐患排查治理情况未按照规定报告的。</w:t>
            </w:r>
          </w:p>
          <w:p>
            <w:pPr>
              <w:widowControl/>
              <w:adjustRightInd w:val="0"/>
              <w:snapToGrid w:val="0"/>
              <w:ind w:firstLine="420" w:firstLineChars="200"/>
              <w:rPr>
                <w:rFonts w:ascii="宋体" w:hAnsi="宋体" w:cs="宋体"/>
                <w:color w:val="auto"/>
                <w:kern w:val="0"/>
                <w:szCs w:val="21"/>
              </w:rPr>
            </w:pP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285" w:hRule="atLeast"/>
          <w:jc w:val="center"/>
        </w:trPr>
        <w:tc>
          <w:tcPr>
            <w:tcW w:w="862" w:type="dxa"/>
            <w:vMerge w:val="continue"/>
            <w:vAlign w:val="center"/>
          </w:tcPr>
          <w:p>
            <w:pPr>
              <w:rPr>
                <w:rFonts w:ascii="宋体" w:hAnsi="宋体" w:cs="宋体"/>
                <w:color w:val="auto"/>
                <w:kern w:val="0"/>
                <w:szCs w:val="21"/>
              </w:rPr>
            </w:pPr>
          </w:p>
        </w:tc>
        <w:tc>
          <w:tcPr>
            <w:tcW w:w="1777" w:type="dxa"/>
            <w:vMerge w:val="continue"/>
            <w:vAlign w:val="center"/>
          </w:tcPr>
          <w:p>
            <w:pPr>
              <w:widowControl/>
              <w:adjustRightInd w:val="0"/>
              <w:snapToGrid w:val="0"/>
              <w:rPr>
                <w:rFonts w:ascii="宋体" w:hAnsi="宋体" w:cs="宋体"/>
                <w:color w:val="auto"/>
                <w:kern w:val="0"/>
                <w:szCs w:val="21"/>
              </w:rPr>
            </w:pP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10.5 重大事故隐患整改</w:t>
            </w:r>
          </w:p>
        </w:tc>
        <w:tc>
          <w:tcPr>
            <w:tcW w:w="4640"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《安全生产事故隐患排查治理暂行规定》第十八条  地方人民政府或者安全监管监察部门及有关部门挂牌督办并责令全部或者局部停产停业治理的重大事故隐患，治理工作结束后，有条件的生产经营单位应当组织本单位的技术人员和专家对重大事故隐患的治理情况进行评估；其他生产经营单位应当委托具备相应资质的安全评价机构对重大事故隐患的治理情况进行评估。</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经治理后符合安全生产条件的，生产经营单位应当向安全监管监察部门和有关部门提出恢复生产的书面申请，经安全监管监察部门和有关部门审查同意后，方可恢复生产经营。申请报告应当包括治理方案的内容、项目和安全评价机构出具的评价报告等。</w:t>
            </w:r>
          </w:p>
        </w:tc>
        <w:tc>
          <w:tcPr>
            <w:tcW w:w="3918"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《安全生产事故隐患排查治理暂行规定》第二十六条  生产经营单位违反本规定，有下列行为之一的，由安全监管监察部门给予警告，并处三万元以下的罚款：</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（六）整改不合格或者未经安全监管监察部门审查同意擅自恢复生产经营的。</w:t>
            </w: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747" w:hRule="atLeast"/>
          <w:jc w:val="center"/>
        </w:trPr>
        <w:tc>
          <w:tcPr>
            <w:tcW w:w="862" w:type="dxa"/>
            <w:vMerge w:val="restart"/>
            <w:vAlign w:val="center"/>
          </w:tcPr>
          <w:p>
            <w:pPr>
              <w:jc w:val="center"/>
              <w:rPr>
                <w:rFonts w:ascii="宋体" w:hAnsi="宋体" w:cs="宋体"/>
                <w:color w:val="auto"/>
                <w:kern w:val="0"/>
                <w:szCs w:val="21"/>
              </w:rPr>
            </w:pPr>
            <w:r>
              <w:rPr>
                <w:rFonts w:hint="eastAsia" w:ascii="宋体" w:hAnsi="宋体" w:cs="宋体"/>
                <w:color w:val="auto"/>
                <w:kern w:val="0"/>
                <w:szCs w:val="21"/>
              </w:rPr>
              <w:t>11</w:t>
            </w:r>
          </w:p>
        </w:tc>
        <w:tc>
          <w:tcPr>
            <w:tcW w:w="1777" w:type="dxa"/>
            <w:vMerge w:val="restart"/>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危险场所与员工宿舍安全距离及安全出口管理情况</w:t>
            </w: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11.1 危险物品场所与员工宿舍不在同一建筑物且保持安全距离</w:t>
            </w:r>
          </w:p>
        </w:tc>
        <w:tc>
          <w:tcPr>
            <w:tcW w:w="4640"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第四十二条　生产、经营、储存、使用危险物品的车间、商店、仓库不得与员工宿舍在同一座建筑物内，并应当与员工宿舍保持安全距离。</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3918"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widowControl/>
              <w:numPr>
                <w:ilvl w:val="0"/>
                <w:numId w:val="4"/>
              </w:numPr>
              <w:adjustRightInd w:val="0"/>
              <w:snapToGrid w:val="0"/>
              <w:ind w:firstLine="420" w:firstLineChars="200"/>
              <w:rPr>
                <w:rFonts w:ascii="宋体" w:hAnsi="宋体" w:cs="宋体"/>
                <w:color w:val="auto"/>
                <w:kern w:val="0"/>
                <w:szCs w:val="21"/>
                <w:lang w:val="en-US" w:eastAsia="zh-CN"/>
              </w:rPr>
            </w:pPr>
            <w:r>
              <w:rPr>
                <w:rFonts w:ascii="宋体" w:hAnsi="宋体" w:cs="宋体"/>
                <w:color w:val="auto"/>
                <w:kern w:val="0"/>
                <w:szCs w:val="21"/>
                <w:lang w:val="en-US" w:eastAsia="zh-CN"/>
              </w:rPr>
              <w:t>生产、经营、储存、使用危险物品的车间、商店、仓库与员工宿舍在同一座建筑内，或者与员工宿舍的距离不符合安全要求的；</w:t>
            </w:r>
          </w:p>
          <w:p>
            <w:pPr>
              <w:widowControl/>
              <w:numPr>
                <w:ilvl w:val="0"/>
                <w:numId w:val="0"/>
              </w:numPr>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lang w:val="en-US" w:eastAsia="zh-CN"/>
              </w:rPr>
              <w:t>……</w:t>
            </w:r>
          </w:p>
        </w:tc>
        <w:tc>
          <w:tcPr>
            <w:tcW w:w="819" w:type="dxa"/>
            <w:vMerge w:val="restart"/>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747" w:hRule="atLeast"/>
          <w:jc w:val="center"/>
        </w:trPr>
        <w:tc>
          <w:tcPr>
            <w:tcW w:w="862" w:type="dxa"/>
            <w:vMerge w:val="continue"/>
            <w:vAlign w:val="center"/>
          </w:tcPr>
          <w:p>
            <w:pPr>
              <w:jc w:val="center"/>
              <w:rPr>
                <w:rFonts w:ascii="宋体" w:hAnsi="宋体" w:cs="宋体"/>
                <w:color w:val="auto"/>
                <w:kern w:val="0"/>
                <w:szCs w:val="21"/>
              </w:rPr>
            </w:pPr>
          </w:p>
        </w:tc>
        <w:tc>
          <w:tcPr>
            <w:tcW w:w="1777" w:type="dxa"/>
            <w:vMerge w:val="continue"/>
            <w:vAlign w:val="center"/>
          </w:tcPr>
          <w:p>
            <w:pPr>
              <w:widowControl/>
              <w:adjustRightInd w:val="0"/>
              <w:snapToGrid w:val="0"/>
              <w:rPr>
                <w:rFonts w:ascii="宋体" w:hAnsi="宋体" w:cs="宋体"/>
                <w:color w:val="auto"/>
                <w:kern w:val="0"/>
                <w:szCs w:val="21"/>
              </w:rPr>
            </w:pP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11.2 生产经营场所和员工宿舍安全出口符合疏散要求，禁止锁闭、封堵</w:t>
            </w:r>
          </w:p>
        </w:tc>
        <w:tc>
          <w:tcPr>
            <w:tcW w:w="4640"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w:t>
            </w:r>
            <w:r>
              <w:rPr>
                <w:rFonts w:hint="eastAsia" w:ascii="宋体" w:hAnsi="宋体" w:cs="宋体"/>
                <w:color w:val="auto"/>
                <w:kern w:val="0"/>
                <w:szCs w:val="21"/>
                <w:lang w:eastAsia="zh-CN"/>
              </w:rPr>
              <w:t>四十二</w:t>
            </w:r>
            <w:r>
              <w:rPr>
                <w:rFonts w:hint="eastAsia" w:ascii="宋体" w:hAnsi="宋体" w:cs="宋体"/>
                <w:color w:val="auto"/>
                <w:kern w:val="0"/>
                <w:szCs w:val="21"/>
              </w:rPr>
              <w:t>条  ……</w:t>
            </w:r>
          </w:p>
          <w:p>
            <w:pPr>
              <w:widowControl/>
              <w:adjustRightInd w:val="0"/>
              <w:snapToGrid w:val="0"/>
              <w:ind w:firstLine="420" w:firstLineChars="200"/>
              <w:rPr>
                <w:rFonts w:ascii="宋体" w:hAnsi="宋体" w:cs="宋体"/>
                <w:color w:val="auto"/>
                <w:kern w:val="0"/>
                <w:szCs w:val="21"/>
              </w:rPr>
            </w:pPr>
            <w:r>
              <w:rPr>
                <w:rFonts w:ascii="宋体" w:hAnsi="宋体" w:cs="宋体"/>
                <w:color w:val="auto"/>
                <w:kern w:val="0"/>
                <w:szCs w:val="21"/>
                <w:lang w:val="en-US" w:eastAsia="zh-CN"/>
              </w:rPr>
              <w:t>生产经营场所和员工宿舍应当设有符合紧急疏散要求、标志明显、保持畅通的出口、疏散通道。禁止占用、锁闭、封堵生产经营场所或者员工宿舍的出口、疏散通道。</w:t>
            </w:r>
          </w:p>
          <w:p>
            <w:pPr>
              <w:widowControl/>
              <w:adjustRightInd w:val="0"/>
              <w:snapToGrid w:val="0"/>
              <w:ind w:firstLine="420" w:firstLineChars="200"/>
              <w:rPr>
                <w:rFonts w:ascii="宋体" w:hAnsi="宋体" w:cs="宋体"/>
                <w:color w:val="auto"/>
                <w:kern w:val="0"/>
                <w:szCs w:val="21"/>
              </w:rPr>
            </w:pPr>
          </w:p>
        </w:tc>
        <w:tc>
          <w:tcPr>
            <w:tcW w:w="3918"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p>
            <w:pPr>
              <w:widowControl/>
              <w:adjustRightInd w:val="0"/>
              <w:snapToGrid w:val="0"/>
              <w:ind w:firstLine="420" w:firstLineChars="200"/>
              <w:rPr>
                <w:rFonts w:ascii="宋体" w:hAnsi="宋体" w:cs="宋体"/>
                <w:color w:val="auto"/>
                <w:kern w:val="0"/>
                <w:szCs w:val="21"/>
              </w:rPr>
            </w:pPr>
            <w:r>
              <w:rPr>
                <w:rFonts w:ascii="宋体" w:hAnsi="宋体" w:cs="宋体"/>
                <w:color w:val="auto"/>
                <w:kern w:val="0"/>
                <w:szCs w:val="21"/>
                <w:lang w:val="en-US" w:eastAsia="zh-CN"/>
              </w:rPr>
              <w:t>（二）生产经营场所和员工宿舍未设有符合紧急疏散需要、标志明显、保持畅通的出口、疏散通道，或者占用、锁闭、封堵生产经营场所或者员工宿舍出口、疏散通道的。</w:t>
            </w:r>
          </w:p>
        </w:tc>
        <w:tc>
          <w:tcPr>
            <w:tcW w:w="819" w:type="dxa"/>
            <w:vMerge w:val="continue"/>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195" w:hRule="atLeast"/>
          <w:jc w:val="center"/>
        </w:trPr>
        <w:tc>
          <w:tcPr>
            <w:tcW w:w="862" w:type="dxa"/>
            <w:vAlign w:val="center"/>
          </w:tcPr>
          <w:p>
            <w:pPr>
              <w:jc w:val="center"/>
              <w:rPr>
                <w:rFonts w:ascii="宋体" w:hAnsi="宋体" w:cs="宋体"/>
                <w:color w:val="auto"/>
                <w:kern w:val="0"/>
                <w:szCs w:val="21"/>
              </w:rPr>
            </w:pPr>
            <w:r>
              <w:rPr>
                <w:rFonts w:hint="eastAsia" w:ascii="宋体" w:hAnsi="宋体" w:cs="宋体"/>
                <w:color w:val="auto"/>
                <w:kern w:val="0"/>
                <w:szCs w:val="21"/>
              </w:rPr>
              <w:t>12</w:t>
            </w:r>
          </w:p>
        </w:tc>
        <w:tc>
          <w:tcPr>
            <w:tcW w:w="1777"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危险作业安全管理情况</w:t>
            </w: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爆破、吊装以及国务院有关部门规定的其他危险作业安全管理</w:t>
            </w:r>
          </w:p>
        </w:tc>
        <w:tc>
          <w:tcPr>
            <w:tcW w:w="4640"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第四十三条　生产经营单位进行爆破、吊装、动火、临时用电以及国务院应急管理部门会同国务院有关部门规定的其他危险作业，应当安排专门人员进行现场安全管理，确保操作规程的遵守和安全措施的落实。</w:t>
            </w:r>
          </w:p>
          <w:p>
            <w:pPr>
              <w:widowControl/>
              <w:adjustRightInd w:val="0"/>
              <w:snapToGrid w:val="0"/>
              <w:ind w:firstLine="420" w:firstLineChars="200"/>
              <w:rPr>
                <w:rFonts w:ascii="宋体" w:hAnsi="宋体" w:cs="宋体"/>
                <w:color w:val="auto"/>
                <w:kern w:val="0"/>
                <w:szCs w:val="21"/>
              </w:rPr>
            </w:pPr>
          </w:p>
        </w:tc>
        <w:tc>
          <w:tcPr>
            <w:tcW w:w="3918"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widowControl/>
              <w:adjustRightInd w:val="0"/>
              <w:snapToGrid w:val="0"/>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lang w:val="en-US" w:eastAsia="zh-CN"/>
              </w:rPr>
              <w:t>（三）进行爆破、吊装、动火、临时用电以及国务院应急管理部门会同国务院有关部门规定的其他危险作业，未安排专门人员进行现场安全管理的；</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621" w:hRule="atLeast"/>
          <w:jc w:val="center"/>
        </w:trPr>
        <w:tc>
          <w:tcPr>
            <w:tcW w:w="862" w:type="dxa"/>
            <w:vAlign w:val="center"/>
          </w:tcPr>
          <w:p>
            <w:pPr>
              <w:jc w:val="center"/>
              <w:rPr>
                <w:rFonts w:ascii="宋体" w:hAnsi="宋体" w:cs="宋体"/>
                <w:color w:val="auto"/>
                <w:kern w:val="0"/>
                <w:szCs w:val="21"/>
              </w:rPr>
            </w:pPr>
            <w:r>
              <w:rPr>
                <w:rFonts w:hint="eastAsia" w:ascii="宋体" w:hAnsi="宋体" w:cs="宋体"/>
                <w:color w:val="auto"/>
                <w:kern w:val="0"/>
                <w:szCs w:val="21"/>
              </w:rPr>
              <w:t>13</w:t>
            </w:r>
          </w:p>
        </w:tc>
        <w:tc>
          <w:tcPr>
            <w:tcW w:w="1777"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劳动防护用品管理情况</w:t>
            </w: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提供符合国家标准、行业标准的劳动防护用品</w:t>
            </w:r>
          </w:p>
        </w:tc>
        <w:tc>
          <w:tcPr>
            <w:tcW w:w="4640"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第四十五条　生产经营单位必须为从业人员提供符合国家标准或者行业标准的劳动防护用品，并监督、教育从业人员按照使用规则佩戴、使用。</w:t>
            </w:r>
          </w:p>
          <w:p>
            <w:pPr>
              <w:widowControl/>
              <w:adjustRightInd w:val="0"/>
              <w:snapToGrid w:val="0"/>
              <w:ind w:firstLine="420" w:firstLineChars="200"/>
              <w:rPr>
                <w:rFonts w:ascii="宋体" w:hAnsi="宋体" w:cs="宋体"/>
                <w:color w:val="auto"/>
                <w:kern w:val="0"/>
                <w:szCs w:val="21"/>
              </w:rPr>
            </w:pPr>
          </w:p>
        </w:tc>
        <w:tc>
          <w:tcPr>
            <w:tcW w:w="3918"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ind w:firstLine="420" w:firstLineChars="200"/>
              <w:rPr>
                <w:rFonts w:hint="eastAsia" w:ascii="宋体" w:hAnsi="宋体" w:cs="宋体"/>
                <w:color w:val="auto"/>
                <w:kern w:val="0"/>
                <w:szCs w:val="21"/>
                <w:lang w:eastAsia="zh-CN"/>
              </w:rPr>
            </w:pPr>
            <w:r>
              <w:rPr>
                <w:rFonts w:hint="eastAsia" w:ascii="宋体" w:hAnsi="宋体" w:cs="宋体"/>
                <w:color w:val="auto"/>
                <w:kern w:val="0"/>
                <w:szCs w:val="21"/>
                <w:lang w:eastAsia="zh-CN"/>
              </w:rPr>
              <w:t>……</w:t>
            </w:r>
          </w:p>
          <w:p>
            <w:pPr>
              <w:widowControl/>
              <w:numPr>
                <w:ilvl w:val="0"/>
                <w:numId w:val="5"/>
              </w:numPr>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未为从业人员提供符合国家标准或者行业标准的劳动防护用品的；</w:t>
            </w:r>
          </w:p>
          <w:p>
            <w:pPr>
              <w:widowControl/>
              <w:numPr>
                <w:ilvl w:val="0"/>
                <w:numId w:val="0"/>
              </w:numPr>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660" w:hRule="atLeast"/>
          <w:jc w:val="center"/>
        </w:trPr>
        <w:tc>
          <w:tcPr>
            <w:tcW w:w="862" w:type="dxa"/>
            <w:vMerge w:val="restart"/>
            <w:vAlign w:val="center"/>
          </w:tcPr>
          <w:p>
            <w:pPr>
              <w:jc w:val="center"/>
              <w:rPr>
                <w:rFonts w:ascii="宋体" w:hAnsi="宋体" w:cs="宋体"/>
                <w:color w:val="auto"/>
                <w:kern w:val="0"/>
                <w:szCs w:val="21"/>
              </w:rPr>
            </w:pPr>
            <w:r>
              <w:rPr>
                <w:rFonts w:hint="eastAsia" w:ascii="宋体" w:hAnsi="宋体" w:cs="宋体"/>
                <w:color w:val="auto"/>
                <w:kern w:val="0"/>
                <w:szCs w:val="21"/>
              </w:rPr>
              <w:t>14</w:t>
            </w:r>
          </w:p>
        </w:tc>
        <w:tc>
          <w:tcPr>
            <w:tcW w:w="1777" w:type="dxa"/>
            <w:vMerge w:val="restart"/>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生产经营项目、场所、设备发包、出租管理情况</w:t>
            </w:r>
          </w:p>
        </w:tc>
        <w:tc>
          <w:tcPr>
            <w:tcW w:w="1863"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14.1 出租给具备条件或者资质的单位或者个人</w:t>
            </w:r>
          </w:p>
        </w:tc>
        <w:tc>
          <w:tcPr>
            <w:tcW w:w="4640"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第四十九条　生产经营单位不得将生产经营项目、场所、设备发包或者出租给不具备安全生产条件或者相应资质的单位或者个人。</w:t>
            </w:r>
          </w:p>
          <w:p>
            <w:pPr>
              <w:widowControl/>
              <w:adjustRightInd w:val="0"/>
              <w:snapToGrid w:val="0"/>
              <w:rPr>
                <w:rFonts w:ascii="宋体" w:hAnsi="宋体" w:cs="宋体"/>
                <w:color w:val="auto"/>
                <w:kern w:val="0"/>
                <w:szCs w:val="21"/>
              </w:rPr>
            </w:pPr>
            <w:r>
              <w:rPr>
                <w:rFonts w:hint="eastAsia" w:ascii="宋体" w:hAnsi="宋体" w:cs="宋体"/>
                <w:color w:val="auto"/>
                <w:kern w:val="0"/>
                <w:szCs w:val="21"/>
              </w:rPr>
              <w:t xml:space="preserve">    ……</w:t>
            </w:r>
          </w:p>
        </w:tc>
        <w:tc>
          <w:tcPr>
            <w:tcW w:w="3918"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ascii="宋体" w:hAnsi="宋体" w:cs="宋体"/>
                <w:color w:val="auto"/>
                <w:kern w:val="0"/>
                <w:szCs w:val="21"/>
                <w:lang w:val="en-US" w:eastAsia="zh-CN"/>
              </w:rPr>
              <w:t>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highlight w:val="none"/>
              </w:rPr>
              <w:t>……</w:t>
            </w: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727" w:hRule="atLeast"/>
          <w:jc w:val="center"/>
        </w:trPr>
        <w:tc>
          <w:tcPr>
            <w:tcW w:w="862" w:type="dxa"/>
            <w:vMerge w:val="continue"/>
            <w:tcBorders>
              <w:bottom w:val="single" w:color="auto" w:sz="4" w:space="0"/>
            </w:tcBorders>
            <w:vAlign w:val="center"/>
          </w:tcPr>
          <w:p>
            <w:pPr>
              <w:jc w:val="center"/>
              <w:rPr>
                <w:rFonts w:ascii="宋体" w:hAnsi="宋体" w:cs="宋体"/>
                <w:color w:val="auto"/>
                <w:kern w:val="0"/>
                <w:szCs w:val="21"/>
              </w:rPr>
            </w:pPr>
          </w:p>
        </w:tc>
        <w:tc>
          <w:tcPr>
            <w:tcW w:w="1777" w:type="dxa"/>
            <w:vMerge w:val="continue"/>
            <w:tcBorders>
              <w:bottom w:val="single" w:color="auto" w:sz="4" w:space="0"/>
            </w:tcBorders>
            <w:vAlign w:val="center"/>
          </w:tcPr>
          <w:p>
            <w:pPr>
              <w:widowControl/>
              <w:adjustRightInd w:val="0"/>
              <w:snapToGrid w:val="0"/>
              <w:rPr>
                <w:rFonts w:ascii="宋体" w:hAnsi="宋体" w:cs="宋体"/>
                <w:color w:val="auto"/>
                <w:kern w:val="0"/>
                <w:szCs w:val="21"/>
              </w:rPr>
            </w:pPr>
          </w:p>
        </w:tc>
        <w:tc>
          <w:tcPr>
            <w:tcW w:w="1863" w:type="dxa"/>
            <w:tcBorders>
              <w:bottom w:val="single" w:color="auto" w:sz="4" w:space="0"/>
            </w:tcBorders>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14.2 安全管理协议和发包方统一协调管理</w:t>
            </w:r>
          </w:p>
        </w:tc>
        <w:tc>
          <w:tcPr>
            <w:tcW w:w="4640" w:type="dxa"/>
            <w:tcBorders>
              <w:bottom w:val="single" w:color="auto" w:sz="4" w:space="0"/>
            </w:tcBorders>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》第四十</w:t>
            </w:r>
            <w:r>
              <w:rPr>
                <w:rFonts w:hint="eastAsia" w:ascii="宋体" w:hAnsi="宋体" w:cs="宋体"/>
                <w:color w:val="auto"/>
                <w:kern w:val="0"/>
                <w:szCs w:val="21"/>
                <w:lang w:eastAsia="zh-CN"/>
              </w:rPr>
              <w:t>九</w:t>
            </w:r>
            <w:r>
              <w:rPr>
                <w:rFonts w:hint="eastAsia" w:ascii="宋体" w:hAnsi="宋体" w:cs="宋体"/>
                <w:color w:val="auto"/>
                <w:kern w:val="0"/>
                <w:szCs w:val="21"/>
              </w:rPr>
              <w:t>条  ……</w:t>
            </w:r>
          </w:p>
          <w:p>
            <w:pPr>
              <w:widowControl/>
              <w:adjustRightInd w:val="0"/>
              <w:snapToGrid w:val="0"/>
              <w:ind w:firstLine="420" w:firstLineChars="200"/>
              <w:rPr>
                <w:rFonts w:ascii="宋体" w:hAnsi="宋体" w:cs="宋体"/>
                <w:color w:val="auto"/>
                <w:kern w:val="0"/>
                <w:szCs w:val="21"/>
              </w:rPr>
            </w:pPr>
            <w:r>
              <w:rPr>
                <w:rFonts w:ascii="宋体" w:hAnsi="宋体" w:cs="宋体"/>
                <w:color w:val="auto"/>
                <w:kern w:val="0"/>
                <w:szCs w:val="21"/>
                <w:lang w:val="en-US" w:eastAsia="zh-CN"/>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widowControl/>
              <w:adjustRightInd w:val="0"/>
              <w:snapToGrid w:val="0"/>
              <w:ind w:firstLine="420" w:firstLineChars="200"/>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w:t>
            </w:r>
          </w:p>
        </w:tc>
        <w:tc>
          <w:tcPr>
            <w:tcW w:w="3918" w:type="dxa"/>
            <w:tcBorders>
              <w:bottom w:val="single" w:color="auto" w:sz="4" w:space="0"/>
            </w:tcBorders>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》第一百</w:t>
            </w:r>
            <w:r>
              <w:rPr>
                <w:rFonts w:hint="eastAsia" w:ascii="宋体" w:hAnsi="宋体" w:cs="宋体"/>
                <w:color w:val="auto"/>
                <w:kern w:val="0"/>
                <w:szCs w:val="21"/>
                <w:lang w:eastAsia="zh-CN"/>
              </w:rPr>
              <w:t>零三</w:t>
            </w:r>
            <w:r>
              <w:rPr>
                <w:rFonts w:hint="eastAsia" w:ascii="宋体" w:hAnsi="宋体" w:cs="宋体"/>
                <w:color w:val="auto"/>
                <w:kern w:val="0"/>
                <w:szCs w:val="21"/>
              </w:rPr>
              <w:t>条  ……</w:t>
            </w:r>
          </w:p>
          <w:p>
            <w:pPr>
              <w:widowControl/>
              <w:adjustRightInd w:val="0"/>
              <w:snapToGrid w:val="0"/>
              <w:ind w:firstLine="420" w:firstLineChars="200"/>
              <w:rPr>
                <w:rFonts w:ascii="宋体" w:hAnsi="宋体" w:cs="宋体"/>
                <w:color w:val="auto"/>
                <w:kern w:val="0"/>
                <w:szCs w:val="21"/>
                <w:lang w:val="en-US" w:eastAsia="zh-CN"/>
              </w:rPr>
            </w:pPr>
            <w:r>
              <w:rPr>
                <w:rFonts w:ascii="宋体" w:hAnsi="宋体" w:cs="宋体"/>
                <w:color w:val="auto"/>
                <w:kern w:val="0"/>
                <w:szCs w:val="21"/>
                <w:lang w:val="en-US" w:eastAsia="zh-CN"/>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lang w:val="en-US" w:eastAsia="zh-CN"/>
              </w:rPr>
              <w:t>……</w:t>
            </w:r>
          </w:p>
        </w:tc>
        <w:tc>
          <w:tcPr>
            <w:tcW w:w="819" w:type="dxa"/>
            <w:tcBorders>
              <w:bottom w:val="single" w:color="auto" w:sz="4" w:space="0"/>
            </w:tcBorders>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62" w:type="dxa"/>
            <w:vAlign w:val="center"/>
          </w:tcPr>
          <w:p>
            <w:pPr>
              <w:widowControl/>
              <w:adjustRightInd w:val="0"/>
              <w:snapToGrid w:val="0"/>
              <w:spacing w:line="320" w:lineRule="exac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p>
        </w:tc>
        <w:tc>
          <w:tcPr>
            <w:tcW w:w="1777" w:type="dxa"/>
            <w:vAlign w:val="center"/>
          </w:tcPr>
          <w:p>
            <w:pPr>
              <w:widowControl/>
              <w:adjustRightInd w:val="0"/>
              <w:snapToGrid w:val="0"/>
              <w:spacing w:line="320" w:lineRule="exact"/>
              <w:rPr>
                <w:rFonts w:ascii="宋体" w:hAnsi="宋体" w:cs="宋体"/>
                <w:color w:val="auto"/>
                <w:kern w:val="0"/>
                <w:szCs w:val="21"/>
              </w:rPr>
            </w:pPr>
            <w:r>
              <w:rPr>
                <w:rFonts w:hint="eastAsia" w:ascii="宋体" w:hAnsi="宋体" w:cs="宋体"/>
                <w:color w:val="auto"/>
                <w:kern w:val="0"/>
                <w:szCs w:val="21"/>
              </w:rPr>
              <w:t>应急预案的制定及实施情况</w:t>
            </w:r>
          </w:p>
        </w:tc>
        <w:tc>
          <w:tcPr>
            <w:tcW w:w="1863" w:type="dxa"/>
            <w:vAlign w:val="center"/>
          </w:tcPr>
          <w:p>
            <w:pPr>
              <w:widowControl/>
              <w:adjustRightInd w:val="0"/>
              <w:snapToGrid w:val="0"/>
              <w:spacing w:line="320" w:lineRule="exact"/>
              <w:rPr>
                <w:rFonts w:ascii="宋体" w:hAnsi="宋体" w:cs="宋体"/>
                <w:color w:val="auto"/>
                <w:kern w:val="0"/>
                <w:szCs w:val="21"/>
              </w:rPr>
            </w:pPr>
            <w:r>
              <w:rPr>
                <w:rFonts w:hint="eastAsia" w:ascii="宋体" w:hAnsi="宋体" w:cs="宋体"/>
                <w:color w:val="auto"/>
                <w:kern w:val="0"/>
                <w:szCs w:val="21"/>
              </w:rPr>
              <w:t>主要负责人组织制定并实施本单位事故应急救援预案</w:t>
            </w:r>
          </w:p>
        </w:tc>
        <w:tc>
          <w:tcPr>
            <w:tcW w:w="4640"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w:t>
            </w:r>
            <w:r>
              <w:rPr>
                <w:rFonts w:hint="eastAsia" w:ascii="宋体" w:hAnsi="宋体" w:cs="宋体"/>
                <w:color w:val="auto"/>
                <w:kern w:val="0"/>
                <w:szCs w:val="21"/>
                <w:lang w:eastAsia="zh-CN"/>
              </w:rPr>
              <w:t>二十一</w:t>
            </w:r>
            <w:r>
              <w:rPr>
                <w:rFonts w:hint="eastAsia" w:ascii="宋体" w:hAnsi="宋体" w:cs="宋体"/>
                <w:color w:val="auto"/>
                <w:kern w:val="0"/>
                <w:szCs w:val="21"/>
              </w:rPr>
              <w:t>条  生产经营单位的主要负责人对本单位安全生产工作负有下列职责：</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（六）组织制定并实施本单位的生产安全事故应急救援预案；</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p>
            <w:pPr>
              <w:widowControl/>
              <w:adjustRightInd w:val="0"/>
              <w:snapToGrid w:val="0"/>
              <w:ind w:firstLine="420" w:firstLineChars="200"/>
              <w:rPr>
                <w:rFonts w:ascii="宋体" w:hAnsi="宋体" w:cs="宋体"/>
                <w:color w:val="auto"/>
                <w:kern w:val="0"/>
                <w:szCs w:val="21"/>
              </w:rPr>
            </w:pPr>
          </w:p>
        </w:tc>
        <w:tc>
          <w:tcPr>
            <w:tcW w:w="3918" w:type="dxa"/>
            <w:vAlign w:val="center"/>
          </w:tcPr>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》第九十四条　生产经营单位的主要负责人未履行本法规定的安全生产管理职责的，责令限期改正，处二万元以上五万元以下的罚款；逾期未改正的，处五万元以上十万元以下的罚款，责令生产经营单位停产停业整顿。</w:t>
            </w:r>
          </w:p>
          <w:p>
            <w:pPr>
              <w:widowControl/>
              <w:adjustRightInd w:val="0"/>
              <w:snapToGrid w:val="0"/>
              <w:ind w:firstLine="420" w:firstLineChars="200"/>
              <w:rPr>
                <w:rFonts w:hint="eastAsia" w:ascii="宋体" w:hAnsi="宋体" w:cs="宋体"/>
                <w:color w:val="auto"/>
                <w:kern w:val="0"/>
                <w:szCs w:val="21"/>
              </w:rPr>
            </w:pPr>
            <w:r>
              <w:rPr>
                <w:rFonts w:hint="eastAsia" w:ascii="宋体" w:hAnsi="宋体" w:cs="宋体"/>
                <w:color w:val="auto"/>
                <w:kern w:val="0"/>
                <w:szCs w:val="21"/>
              </w:rPr>
              <w:t>生产经营单位的主要负责人有前款违法行为，导致发生生产安全事故的，给予撤职处分；构成犯罪的，依照刑法有关规定追究刑事责任。</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819" w:type="dxa"/>
            <w:vAlign w:val="center"/>
          </w:tcPr>
          <w:p>
            <w:pPr>
              <w:widowControl/>
              <w:adjustRightInd w:val="0"/>
              <w:snapToGrid w:val="0"/>
              <w:spacing w:line="320" w:lineRule="exact"/>
              <w:rPr>
                <w:rFonts w:ascii="宋体" w:hAnsi="宋体" w:cs="宋体"/>
                <w:color w:val="auto"/>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01" w:hRule="atLeast"/>
          <w:jc w:val="center"/>
        </w:trPr>
        <w:tc>
          <w:tcPr>
            <w:tcW w:w="862" w:type="dxa"/>
            <w:vAlign w:val="center"/>
          </w:tcPr>
          <w:p>
            <w:pPr>
              <w:jc w:val="center"/>
              <w:rPr>
                <w:rFonts w:hint="eastAsia" w:ascii="宋体" w:hAnsi="宋体" w:eastAsia="宋体"/>
                <w:color w:val="auto"/>
                <w:szCs w:val="21"/>
                <w:lang w:val="en-US" w:eastAsia="zh-CN"/>
              </w:rPr>
            </w:pPr>
            <w:r>
              <w:rPr>
                <w:rFonts w:hint="eastAsia" w:ascii="宋体" w:hAnsi="宋体"/>
                <w:color w:val="auto"/>
                <w:szCs w:val="21"/>
              </w:rPr>
              <w:t>1</w:t>
            </w:r>
            <w:r>
              <w:rPr>
                <w:rFonts w:hint="eastAsia" w:ascii="宋体" w:hAnsi="宋体"/>
                <w:color w:val="auto"/>
                <w:szCs w:val="21"/>
                <w:lang w:val="en-US" w:eastAsia="zh-CN"/>
              </w:rPr>
              <w:t>6</w:t>
            </w:r>
          </w:p>
        </w:tc>
        <w:tc>
          <w:tcPr>
            <w:tcW w:w="1777" w:type="dxa"/>
            <w:vAlign w:val="center"/>
          </w:tcPr>
          <w:p>
            <w:pPr>
              <w:widowControl/>
              <w:adjustRightInd w:val="0"/>
              <w:snapToGrid w:val="0"/>
              <w:spacing w:line="300" w:lineRule="exact"/>
              <w:rPr>
                <w:rFonts w:ascii="宋体" w:hAnsi="宋体" w:cs="宋体"/>
                <w:color w:val="auto"/>
                <w:kern w:val="0"/>
                <w:szCs w:val="21"/>
              </w:rPr>
            </w:pPr>
            <w:r>
              <w:rPr>
                <w:rFonts w:hint="eastAsia" w:ascii="宋体" w:hAnsi="宋体" w:cs="宋体"/>
                <w:color w:val="auto"/>
                <w:kern w:val="0"/>
                <w:szCs w:val="21"/>
              </w:rPr>
              <w:t>应急预案制定演练情况</w:t>
            </w:r>
          </w:p>
        </w:tc>
        <w:tc>
          <w:tcPr>
            <w:tcW w:w="1863" w:type="dxa"/>
            <w:vAlign w:val="center"/>
          </w:tcPr>
          <w:p>
            <w:pPr>
              <w:widowControl/>
              <w:adjustRightInd w:val="0"/>
              <w:snapToGrid w:val="0"/>
              <w:spacing w:line="300" w:lineRule="exact"/>
              <w:rPr>
                <w:rFonts w:ascii="宋体" w:hAnsi="宋体" w:cs="宋体"/>
                <w:color w:val="auto"/>
                <w:kern w:val="0"/>
                <w:szCs w:val="21"/>
              </w:rPr>
            </w:pPr>
            <w:r>
              <w:rPr>
                <w:rFonts w:hint="eastAsia" w:ascii="宋体" w:hAnsi="宋体" w:cs="宋体"/>
                <w:color w:val="auto"/>
                <w:kern w:val="0"/>
                <w:szCs w:val="21"/>
              </w:rPr>
              <w:t>制定本单位事故应急救援预案，与地方人民政府事故应急救援预案相衔接，并定期组织演练</w:t>
            </w:r>
          </w:p>
        </w:tc>
        <w:tc>
          <w:tcPr>
            <w:tcW w:w="4640" w:type="dxa"/>
            <w:vAlign w:val="center"/>
          </w:tcPr>
          <w:p>
            <w:pPr>
              <w:widowControl/>
              <w:adjustRightInd w:val="0"/>
              <w:snapToGrid w:val="0"/>
              <w:spacing w:line="300" w:lineRule="exact"/>
              <w:ind w:firstLine="420" w:firstLineChars="200"/>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》第八十一条　生产经营单位应当制定本单位生产安全事故应急救援预案，与所在地县级以上地方人民政府组织制定的生产安全事故应急救援预案相衔接，并定期组织演练。</w:t>
            </w:r>
          </w:p>
          <w:p>
            <w:pPr>
              <w:widowControl/>
              <w:adjustRightInd w:val="0"/>
              <w:snapToGrid w:val="0"/>
              <w:spacing w:line="300" w:lineRule="exact"/>
              <w:ind w:firstLine="420" w:firstLineChars="200"/>
              <w:rPr>
                <w:rFonts w:ascii="宋体" w:hAnsi="宋体" w:cs="宋体"/>
                <w:color w:val="auto"/>
                <w:kern w:val="0"/>
                <w:szCs w:val="21"/>
              </w:rPr>
            </w:pPr>
          </w:p>
        </w:tc>
        <w:tc>
          <w:tcPr>
            <w:tcW w:w="3918" w:type="dxa"/>
            <w:vAlign w:val="center"/>
          </w:tcPr>
          <w:p>
            <w:pPr>
              <w:widowControl/>
              <w:adjustRightInd w:val="0"/>
              <w:snapToGrid w:val="0"/>
              <w:ind w:firstLine="420" w:firstLineChars="200"/>
              <w:rPr>
                <w:rFonts w:hint="eastAsia"/>
                <w:color w:val="auto"/>
              </w:rPr>
            </w:pPr>
            <w:r>
              <w:rPr>
                <w:rFonts w:hint="eastAsia" w:ascii="宋体" w:hAnsi="宋体" w:cs="宋体"/>
                <w:color w:val="auto"/>
                <w:kern w:val="0"/>
                <w:szCs w:val="21"/>
              </w:rPr>
              <w:t>《</w:t>
            </w:r>
            <w:r>
              <w:rPr>
                <w:rFonts w:hint="eastAsia" w:ascii="宋体" w:hAnsi="宋体" w:cs="宋体"/>
                <w:color w:val="auto"/>
                <w:kern w:val="0"/>
                <w:szCs w:val="21"/>
                <w:lang w:eastAsia="zh-CN"/>
              </w:rPr>
              <w:t>中华人民共和国安全生产法</w:t>
            </w:r>
            <w:r>
              <w:rPr>
                <w:rFonts w:hint="eastAsia" w:ascii="宋体" w:hAnsi="宋体" w:cs="宋体"/>
                <w:color w:val="auto"/>
                <w:kern w:val="0"/>
                <w:szCs w:val="21"/>
              </w:rPr>
              <w:t>》</w:t>
            </w:r>
            <w:r>
              <w:rPr>
                <w:rFonts w:hint="eastAsia"/>
                <w:color w:val="auto"/>
                <w:lang w:val="en-US" w:eastAsia="zh-CN"/>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widowControl/>
              <w:adjustRightInd w:val="0"/>
              <w:snapToGrid w:val="0"/>
              <w:ind w:firstLine="420" w:firstLineChars="200"/>
              <w:rPr>
                <w:rFonts w:hint="eastAsia"/>
                <w:color w:val="auto"/>
                <w:lang w:val="en-US" w:eastAsia="zh-CN"/>
              </w:rPr>
            </w:pPr>
            <w:r>
              <w:rPr>
                <w:rFonts w:hint="eastAsia"/>
                <w:color w:val="auto"/>
                <w:lang w:val="en-US" w:eastAsia="zh-CN"/>
              </w:rPr>
              <w:t>……</w:t>
            </w:r>
          </w:p>
          <w:p>
            <w:pPr>
              <w:widowControl/>
              <w:adjustRightInd w:val="0"/>
              <w:snapToGrid w:val="0"/>
              <w:ind w:firstLine="420" w:firstLineChars="200"/>
              <w:rPr>
                <w:color w:val="auto"/>
              </w:rPr>
            </w:pPr>
            <w:r>
              <w:rPr>
                <w:rFonts w:hint="eastAsia"/>
                <w:color w:val="auto"/>
                <w:lang w:val="en-US" w:eastAsia="zh-CN"/>
              </w:rPr>
              <w:t>（六）未按照规定制定生产安全事故应急救援预案或者未定期组织演练的；</w:t>
            </w:r>
          </w:p>
          <w:p>
            <w:pPr>
              <w:pStyle w:val="2"/>
              <w:ind w:left="0" w:leftChars="0" w:firstLine="0" w:firstLineChars="0"/>
              <w:rPr>
                <w:rFonts w:eastAsia="宋体"/>
                <w:color w:val="auto"/>
              </w:rPr>
            </w:pP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62" w:type="dxa"/>
            <w:vAlign w:val="center"/>
          </w:tcPr>
          <w:p>
            <w:pPr>
              <w:jc w:val="center"/>
              <w:rPr>
                <w:rFonts w:hint="eastAsia" w:ascii="宋体" w:hAnsi="宋体" w:eastAsia="宋体"/>
                <w:color w:val="auto"/>
                <w:szCs w:val="21"/>
                <w:lang w:val="en-US" w:eastAsia="zh-CN"/>
              </w:rPr>
            </w:pPr>
            <w:r>
              <w:rPr>
                <w:rFonts w:hint="eastAsia" w:ascii="宋体" w:hAnsi="宋体"/>
                <w:color w:val="auto"/>
                <w:szCs w:val="21"/>
              </w:rPr>
              <w:t>1</w:t>
            </w:r>
            <w:r>
              <w:rPr>
                <w:rFonts w:hint="eastAsia" w:ascii="宋体" w:hAnsi="宋体"/>
                <w:color w:val="auto"/>
                <w:szCs w:val="21"/>
                <w:lang w:val="en-US" w:eastAsia="zh-CN"/>
              </w:rPr>
              <w:t>7</w:t>
            </w:r>
          </w:p>
        </w:tc>
        <w:tc>
          <w:tcPr>
            <w:tcW w:w="1777"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编制应急预案前风险评估和应急资源调查情况</w:t>
            </w:r>
          </w:p>
        </w:tc>
        <w:tc>
          <w:tcPr>
            <w:tcW w:w="1863" w:type="dxa"/>
            <w:vAlign w:val="center"/>
          </w:tcPr>
          <w:p>
            <w:pPr>
              <w:widowControl/>
              <w:adjustRightInd w:val="0"/>
              <w:snapToGrid w:val="0"/>
              <w:rPr>
                <w:rFonts w:ascii="宋体" w:hAnsi="宋体"/>
                <w:bCs/>
                <w:color w:val="auto"/>
                <w:szCs w:val="21"/>
              </w:rPr>
            </w:pPr>
            <w:r>
              <w:rPr>
                <w:rFonts w:hint="eastAsia" w:ascii="宋体" w:hAnsi="宋体" w:cs="宋体"/>
                <w:color w:val="auto"/>
                <w:kern w:val="0"/>
                <w:szCs w:val="21"/>
              </w:rPr>
              <w:t>编制应急预案前进行事故风险评估和应急资源调查</w:t>
            </w:r>
          </w:p>
        </w:tc>
        <w:tc>
          <w:tcPr>
            <w:tcW w:w="4640" w:type="dxa"/>
            <w:vAlign w:val="center"/>
          </w:tcPr>
          <w:p>
            <w:pPr>
              <w:adjustRightInd w:val="0"/>
              <w:snapToGrid w:val="0"/>
              <w:ind w:firstLine="420" w:firstLineChars="200"/>
              <w:rPr>
                <w:rFonts w:ascii="Times New Roman" w:hAnsi="Times New Roman"/>
                <w:color w:val="auto"/>
              </w:rPr>
            </w:pPr>
            <w:r>
              <w:rPr>
                <w:rFonts w:hint="eastAsia" w:ascii="Times New Roman" w:hAnsi="Times New Roman"/>
                <w:color w:val="auto"/>
              </w:rPr>
              <w:t>《生产安全事故应急预案管理办法》第十条  编制应急预案前，编制单位应当进行事故风险辨识、评估和应急资源调查。</w:t>
            </w:r>
          </w:p>
          <w:p>
            <w:pPr>
              <w:adjustRightInd w:val="0"/>
              <w:snapToGrid w:val="0"/>
              <w:ind w:firstLine="420" w:firstLineChars="200"/>
              <w:rPr>
                <w:rFonts w:ascii="Times New Roman" w:hAnsi="Times New Roman"/>
                <w:color w:val="auto"/>
              </w:rPr>
            </w:pPr>
            <w:r>
              <w:rPr>
                <w:rFonts w:hint="eastAsia" w:ascii="Times New Roman" w:hAnsi="Times New Roman"/>
                <w:color w:val="auto"/>
              </w:rPr>
              <w:t>事故风险辨识、评估，是指针对不同事故种类及特点，识别存在的危险危害因素，分析事故可能产生的直接后果以及次生、衍生后果，评估各种后果的危害程度和影响范围，提出防范和控制事故风险措施的过程。</w:t>
            </w:r>
          </w:p>
          <w:p>
            <w:pPr>
              <w:adjustRightInd w:val="0"/>
              <w:snapToGrid w:val="0"/>
              <w:ind w:firstLine="420" w:firstLineChars="200"/>
              <w:rPr>
                <w:rFonts w:ascii="宋体" w:hAnsi="宋体" w:cs="宋体"/>
                <w:color w:val="auto"/>
                <w:kern w:val="0"/>
                <w:szCs w:val="21"/>
                <w:bdr w:val="single" w:color="auto" w:sz="4" w:space="0"/>
              </w:rPr>
            </w:pPr>
            <w:r>
              <w:rPr>
                <w:rFonts w:hint="eastAsia" w:ascii="Times New Roman" w:hAnsi="Times New Roman"/>
                <w:color w:val="auto"/>
              </w:rPr>
              <w:t>应急资源调查，是指全面调查本地区、本单位第一时间可以调用的应急资源状况和合作区域内可以请求援助的应急资源状况，并结合事故风险辨识评估结论制定应急措施的过程。</w:t>
            </w:r>
          </w:p>
        </w:tc>
        <w:tc>
          <w:tcPr>
            <w:tcW w:w="3918" w:type="dxa"/>
            <w:vAlign w:val="center"/>
          </w:tcPr>
          <w:p>
            <w:pPr>
              <w:widowControl/>
              <w:adjustRightInd w:val="0"/>
              <w:snapToGrid w:val="0"/>
              <w:ind w:firstLine="420" w:firstLineChars="200"/>
              <w:rPr>
                <w:color w:val="auto"/>
                <w:highlight w:val="none"/>
              </w:rPr>
            </w:pPr>
            <w:r>
              <w:rPr>
                <w:rFonts w:hint="eastAsia"/>
                <w:color w:val="auto"/>
              </w:rPr>
              <w:t>《生产安全事故应急预案管理办法》第四十五条  生产经营单位有下列情形之一的，由县级以上人民政府</w:t>
            </w:r>
            <w:r>
              <w:rPr>
                <w:rFonts w:hint="eastAsia"/>
                <w:color w:val="auto"/>
                <w:highlight w:val="none"/>
              </w:rPr>
              <w:t>应急管理部门责令限期改正，可以处</w:t>
            </w:r>
            <w:r>
              <w:rPr>
                <w:rFonts w:hint="eastAsia" w:asciiTheme="minorEastAsia" w:hAnsiTheme="minorEastAsia" w:eastAsiaTheme="minorEastAsia"/>
                <w:color w:val="auto"/>
                <w:highlight w:val="none"/>
              </w:rPr>
              <w:t>1</w:t>
            </w:r>
            <w:r>
              <w:rPr>
                <w:rFonts w:hint="eastAsia"/>
                <w:color w:val="auto"/>
                <w:highlight w:val="none"/>
              </w:rPr>
              <w:t>万元以上</w:t>
            </w:r>
            <w:r>
              <w:rPr>
                <w:rFonts w:hint="eastAsia" w:asciiTheme="minorEastAsia" w:hAnsiTheme="minorEastAsia" w:eastAsiaTheme="minorEastAsia"/>
                <w:color w:val="auto"/>
                <w:highlight w:val="none"/>
              </w:rPr>
              <w:t>3</w:t>
            </w:r>
            <w:r>
              <w:rPr>
                <w:rFonts w:hint="eastAsia"/>
                <w:color w:val="auto"/>
                <w:highlight w:val="none"/>
              </w:rPr>
              <w:t>万元以下的罚款：</w:t>
            </w:r>
          </w:p>
          <w:p>
            <w:pPr>
              <w:widowControl/>
              <w:adjustRightInd w:val="0"/>
              <w:snapToGrid w:val="0"/>
              <w:ind w:firstLine="420" w:firstLineChars="200"/>
              <w:rPr>
                <w:color w:val="auto"/>
              </w:rPr>
            </w:pPr>
            <w:r>
              <w:rPr>
                <w:rFonts w:hint="eastAsia"/>
                <w:color w:val="auto"/>
                <w:highlight w:val="none"/>
              </w:rPr>
              <w:t>（一）在应急预案编制前未按照规定开展风险辨识</w:t>
            </w:r>
            <w:r>
              <w:rPr>
                <w:rFonts w:hint="eastAsia"/>
                <w:color w:val="auto"/>
              </w:rPr>
              <w:t>、评估和应急资源调查的；</w:t>
            </w:r>
          </w:p>
          <w:p>
            <w:pPr>
              <w:pStyle w:val="2"/>
              <w:ind w:firstLine="420"/>
              <w:rPr>
                <w:rFonts w:eastAsia="宋体"/>
                <w:color w:val="auto"/>
              </w:rPr>
            </w:pPr>
            <w:r>
              <w:rPr>
                <w:rFonts w:hint="eastAsia" w:ascii="宋体" w:hAnsi="宋体" w:eastAsia="宋体" w:cs="宋体"/>
                <w:color w:val="auto"/>
                <w:kern w:val="0"/>
                <w:szCs w:val="21"/>
              </w:rPr>
              <w:t>……</w:t>
            </w: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011" w:hRule="atLeast"/>
          <w:jc w:val="center"/>
        </w:trPr>
        <w:tc>
          <w:tcPr>
            <w:tcW w:w="862" w:type="dxa"/>
            <w:vAlign w:val="center"/>
          </w:tcPr>
          <w:p>
            <w:pPr>
              <w:jc w:val="center"/>
              <w:rPr>
                <w:rFonts w:hint="eastAsia" w:ascii="宋体" w:hAnsi="宋体" w:eastAsia="宋体"/>
                <w:color w:val="auto"/>
                <w:szCs w:val="21"/>
                <w:lang w:val="en-US" w:eastAsia="zh-CN"/>
              </w:rPr>
            </w:pPr>
            <w:r>
              <w:rPr>
                <w:rFonts w:hint="eastAsia" w:ascii="宋体" w:hAnsi="宋体"/>
                <w:color w:val="auto"/>
                <w:szCs w:val="21"/>
              </w:rPr>
              <w:t>1</w:t>
            </w:r>
            <w:r>
              <w:rPr>
                <w:rFonts w:hint="eastAsia" w:ascii="宋体" w:hAnsi="宋体"/>
                <w:color w:val="auto"/>
                <w:szCs w:val="21"/>
                <w:lang w:val="en-US" w:eastAsia="zh-CN"/>
              </w:rPr>
              <w:t>8</w:t>
            </w:r>
          </w:p>
        </w:tc>
        <w:tc>
          <w:tcPr>
            <w:tcW w:w="1777"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应急预案评审或者论证情况</w:t>
            </w:r>
          </w:p>
        </w:tc>
        <w:tc>
          <w:tcPr>
            <w:tcW w:w="1863" w:type="dxa"/>
            <w:vAlign w:val="center"/>
          </w:tcPr>
          <w:p>
            <w:pPr>
              <w:widowControl/>
              <w:adjustRightInd w:val="0"/>
              <w:snapToGrid w:val="0"/>
              <w:rPr>
                <w:rFonts w:ascii="宋体" w:hAnsi="宋体"/>
                <w:bCs/>
                <w:color w:val="auto"/>
                <w:szCs w:val="21"/>
              </w:rPr>
            </w:pPr>
            <w:r>
              <w:rPr>
                <w:rFonts w:hint="eastAsia" w:ascii="宋体" w:hAnsi="宋体"/>
                <w:bCs/>
                <w:color w:val="auto"/>
                <w:szCs w:val="21"/>
              </w:rPr>
              <w:t>高危行业生产经营单位进行应急预案评审，其他生产经营单位进行论证</w:t>
            </w:r>
          </w:p>
        </w:tc>
        <w:tc>
          <w:tcPr>
            <w:tcW w:w="4640" w:type="dxa"/>
            <w:vAlign w:val="center"/>
          </w:tcPr>
          <w:p>
            <w:pPr>
              <w:adjustRightInd w:val="0"/>
              <w:snapToGrid w:val="0"/>
              <w:ind w:firstLine="420" w:firstLineChars="200"/>
              <w:rPr>
                <w:rFonts w:ascii="宋体" w:hAnsi="宋体"/>
                <w:bCs/>
                <w:color w:val="auto"/>
                <w:szCs w:val="21"/>
              </w:rPr>
            </w:pPr>
            <w:r>
              <w:rPr>
                <w:rFonts w:hint="eastAsia" w:ascii="宋体" w:hAnsi="宋体"/>
                <w:bCs/>
                <w:color w:val="auto"/>
                <w:szCs w:val="21"/>
              </w:rPr>
              <w:t>《生产安全事故应急预案管理办法》第二十一条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w:t>
            </w:r>
          </w:p>
          <w:p>
            <w:pPr>
              <w:adjustRightInd w:val="0"/>
              <w:snapToGrid w:val="0"/>
              <w:ind w:firstLine="420" w:firstLineChars="200"/>
              <w:rPr>
                <w:rFonts w:ascii="宋体" w:hAnsi="宋体"/>
                <w:bCs/>
                <w:color w:val="auto"/>
                <w:szCs w:val="21"/>
              </w:rPr>
            </w:pPr>
            <w:r>
              <w:rPr>
                <w:rFonts w:hint="eastAsia" w:ascii="宋体" w:hAnsi="宋体"/>
                <w:bCs/>
                <w:color w:val="auto"/>
                <w:szCs w:val="21"/>
              </w:rPr>
              <w:t>前款规定以外的其他生产经营单位可以根据自身需要，对本单位编制的应急预案进行论证。</w:t>
            </w:r>
          </w:p>
          <w:p>
            <w:pPr>
              <w:adjustRightInd w:val="0"/>
              <w:snapToGrid w:val="0"/>
              <w:ind w:firstLine="420" w:firstLineChars="200"/>
              <w:rPr>
                <w:rFonts w:ascii="宋体" w:hAnsi="宋体"/>
                <w:bCs/>
                <w:color w:val="auto"/>
                <w:szCs w:val="21"/>
              </w:rPr>
            </w:pPr>
            <w:r>
              <w:rPr>
                <w:rFonts w:hint="eastAsia" w:ascii="宋体" w:hAnsi="宋体"/>
                <w:bCs/>
                <w:color w:val="auto"/>
                <w:szCs w:val="21"/>
              </w:rPr>
              <w:t>第二十三条  应急预案的评审或者论证应当注重基本要素的完整性、组织体系的合理性、应急处置程序和措施的针对性、应急保障措施的可行性、应急预案的衔接性等内容。</w:t>
            </w:r>
          </w:p>
        </w:tc>
        <w:tc>
          <w:tcPr>
            <w:tcW w:w="3918"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《生产安全事故应急预案管理办法》第四十五条  生产经营单位有下列情形之一的，由县级以上安全生产监督管理部门责令限期改正，可以处1万元以上3万元以下罚款：</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（二）未按照规定开展应急预案评审的；</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38" w:hRule="atLeast"/>
          <w:jc w:val="center"/>
        </w:trPr>
        <w:tc>
          <w:tcPr>
            <w:tcW w:w="862" w:type="dxa"/>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19</w:t>
            </w:r>
          </w:p>
        </w:tc>
        <w:tc>
          <w:tcPr>
            <w:tcW w:w="1777"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应急预案备案情况</w:t>
            </w:r>
          </w:p>
        </w:tc>
        <w:tc>
          <w:tcPr>
            <w:tcW w:w="1863" w:type="dxa"/>
            <w:vAlign w:val="center"/>
          </w:tcPr>
          <w:p>
            <w:pPr>
              <w:widowControl/>
              <w:adjustRightInd w:val="0"/>
              <w:snapToGrid w:val="0"/>
              <w:rPr>
                <w:rFonts w:ascii="宋体" w:hAnsi="宋体"/>
                <w:bCs/>
                <w:color w:val="auto"/>
                <w:szCs w:val="21"/>
              </w:rPr>
            </w:pPr>
            <w:r>
              <w:rPr>
                <w:rFonts w:hint="eastAsia" w:ascii="宋体" w:hAnsi="宋体"/>
                <w:bCs/>
                <w:color w:val="auto"/>
                <w:szCs w:val="21"/>
              </w:rPr>
              <w:t>按照生产经营单位隶属关系、行业领域、规模等备案</w:t>
            </w:r>
          </w:p>
        </w:tc>
        <w:tc>
          <w:tcPr>
            <w:tcW w:w="4640" w:type="dxa"/>
            <w:vAlign w:val="center"/>
          </w:tcPr>
          <w:p>
            <w:pPr>
              <w:adjustRightInd w:val="0"/>
              <w:snapToGrid w:val="0"/>
              <w:ind w:firstLine="420" w:firstLineChars="200"/>
              <w:rPr>
                <w:rFonts w:ascii="宋体" w:hAnsi="宋体"/>
                <w:bCs/>
                <w:color w:val="auto"/>
                <w:szCs w:val="21"/>
              </w:rPr>
            </w:pPr>
            <w:r>
              <w:rPr>
                <w:rFonts w:hint="eastAsia" w:ascii="宋体" w:hAnsi="宋体"/>
                <w:bCs/>
                <w:color w:val="auto"/>
                <w:szCs w:val="21"/>
              </w:rPr>
              <w:t>《生产安全事故应急预案管理办法》第二十六条  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p>
            <w:pPr>
              <w:adjustRightInd w:val="0"/>
              <w:snapToGrid w:val="0"/>
              <w:ind w:firstLine="420" w:firstLineChars="200"/>
              <w:rPr>
                <w:rFonts w:ascii="宋体" w:hAnsi="宋体"/>
                <w:bCs/>
                <w:color w:val="auto"/>
                <w:szCs w:val="21"/>
              </w:rPr>
            </w:pPr>
            <w:r>
              <w:rPr>
                <w:rFonts w:hint="eastAsia" w:ascii="宋体" w:hAnsi="宋体"/>
                <w:bCs/>
                <w:color w:val="auto"/>
                <w:szCs w:val="21"/>
              </w:rPr>
              <w:t>前款所列单位属于中央企业的，其总部（上市公司）的应急预案，报国务院主管的负有安全生产监督管理职责的部门备案，并抄送应急管理部；其所属单位的应急预案报所在地的省、自治区、直辖市或者设区的市级人民政府主管的负有安全生产监督管理职责的部门备案，并抄送同级人民政府应急管理部门。</w:t>
            </w:r>
          </w:p>
          <w:p>
            <w:pPr>
              <w:adjustRightInd w:val="0"/>
              <w:snapToGrid w:val="0"/>
              <w:ind w:firstLine="420" w:firstLineChars="200"/>
              <w:rPr>
                <w:rFonts w:ascii="宋体" w:hAnsi="宋体"/>
                <w:bCs/>
                <w:color w:val="auto"/>
                <w:szCs w:val="21"/>
              </w:rPr>
            </w:pPr>
            <w:r>
              <w:rPr>
                <w:rFonts w:hint="eastAsia" w:ascii="宋体" w:hAnsi="宋体"/>
                <w:bCs/>
                <w:color w:val="auto"/>
                <w:szCs w:val="21"/>
              </w:rPr>
              <w:t>本条第一款所列单位不属于中央企业的，其中非煤矿山、金属冶炼和危险化学品生产、经营、储存、运输企业，以及使用危险化学品达到国家规定数量的化工企业、烟花爆竹生产、批发经营企业的应急预案，按照隶属关系报所在地县级以上地方人民政府应急管理部门备案；本款前述单位以外的其他生产经营单位应急预案的备案，由省、自治区、直辖市人民政府负有安全生产监督管理职责的部门确定。</w:t>
            </w:r>
          </w:p>
          <w:p>
            <w:pPr>
              <w:adjustRightInd w:val="0"/>
              <w:snapToGrid w:val="0"/>
              <w:ind w:firstLine="420" w:firstLineChars="200"/>
              <w:rPr>
                <w:rFonts w:ascii="宋体" w:hAnsi="宋体"/>
                <w:bCs/>
                <w:color w:val="auto"/>
                <w:szCs w:val="21"/>
              </w:rPr>
            </w:pPr>
            <w:r>
              <w:rPr>
                <w:rFonts w:hint="eastAsia" w:ascii="宋体" w:hAnsi="宋体"/>
                <w:bCs/>
                <w:color w:val="auto"/>
                <w:szCs w:val="21"/>
              </w:rPr>
              <w:t>油气输送管道运营单位的应急预案，除按照本条第一款、第二款的规定备案外，还应当抄送所经行政区域的县级人民政府应急管理部门。</w:t>
            </w:r>
          </w:p>
          <w:p>
            <w:pPr>
              <w:adjustRightInd w:val="0"/>
              <w:snapToGrid w:val="0"/>
              <w:ind w:firstLine="420" w:firstLineChars="200"/>
              <w:rPr>
                <w:rFonts w:ascii="宋体" w:hAnsi="宋体"/>
                <w:bCs/>
                <w:color w:val="auto"/>
                <w:szCs w:val="21"/>
              </w:rPr>
            </w:pPr>
            <w:r>
              <w:rPr>
                <w:rFonts w:hint="eastAsia" w:ascii="宋体" w:hAnsi="宋体"/>
                <w:bCs/>
                <w:color w:val="auto"/>
                <w:szCs w:val="21"/>
              </w:rPr>
              <w:t>海洋石油开采企业的应急预案，除按照本条第一款、第二款的规定备案外，还应当抄送所经行政区域的县级人民政府应急管理部门和海洋石油安全监管机构。</w:t>
            </w:r>
          </w:p>
          <w:p>
            <w:pPr>
              <w:adjustRightInd w:val="0"/>
              <w:snapToGrid w:val="0"/>
              <w:ind w:firstLine="420" w:firstLineChars="200"/>
              <w:rPr>
                <w:rFonts w:ascii="宋体" w:hAnsi="宋体"/>
                <w:bCs/>
                <w:color w:val="auto"/>
                <w:szCs w:val="21"/>
              </w:rPr>
            </w:pPr>
            <w:r>
              <w:rPr>
                <w:rFonts w:hint="eastAsia" w:ascii="宋体" w:hAnsi="宋体"/>
                <w:bCs/>
                <w:color w:val="auto"/>
                <w:szCs w:val="21"/>
              </w:rPr>
              <w:t>煤矿企业的应急预案除按照本条第一款、第二款的规定备案外，还应当抄送所在地的煤矿安全监察机构。</w:t>
            </w:r>
          </w:p>
        </w:tc>
        <w:tc>
          <w:tcPr>
            <w:tcW w:w="3918"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《生产安全事故应急预案管理办法》第四十五条  生产经营单位有下列情形之一的，由县级以上安全生产监督管理部门责令限期改正，可以处1万元以上3万元以下罚款：</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586" w:hRule="atLeast"/>
          <w:jc w:val="center"/>
        </w:trPr>
        <w:tc>
          <w:tcPr>
            <w:tcW w:w="862" w:type="dxa"/>
            <w:vAlign w:val="center"/>
          </w:tcPr>
          <w:p>
            <w:pPr>
              <w:jc w:val="center"/>
              <w:rPr>
                <w:rFonts w:hint="eastAsia" w:ascii="宋体" w:hAnsi="宋体" w:eastAsia="宋体"/>
                <w:color w:val="auto"/>
                <w:szCs w:val="21"/>
                <w:lang w:val="en-US" w:eastAsia="zh-CN"/>
              </w:rPr>
            </w:pPr>
            <w:r>
              <w:rPr>
                <w:rFonts w:hint="eastAsia" w:ascii="宋体" w:hAnsi="宋体"/>
                <w:color w:val="auto"/>
                <w:szCs w:val="21"/>
              </w:rPr>
              <w:t>2</w:t>
            </w:r>
            <w:r>
              <w:rPr>
                <w:rFonts w:hint="eastAsia" w:ascii="宋体" w:hAnsi="宋体"/>
                <w:color w:val="auto"/>
                <w:szCs w:val="21"/>
                <w:lang w:val="en-US" w:eastAsia="zh-CN"/>
              </w:rPr>
              <w:t>0</w:t>
            </w:r>
          </w:p>
        </w:tc>
        <w:tc>
          <w:tcPr>
            <w:tcW w:w="1777"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事故风险及应急措施告知情况</w:t>
            </w:r>
          </w:p>
        </w:tc>
        <w:tc>
          <w:tcPr>
            <w:tcW w:w="1863" w:type="dxa"/>
            <w:vAlign w:val="center"/>
          </w:tcPr>
          <w:p>
            <w:pPr>
              <w:widowControl/>
              <w:adjustRightInd w:val="0"/>
              <w:snapToGrid w:val="0"/>
              <w:rPr>
                <w:rFonts w:ascii="宋体" w:hAnsi="宋体"/>
                <w:bCs/>
                <w:color w:val="auto"/>
                <w:szCs w:val="21"/>
              </w:rPr>
            </w:pPr>
            <w:r>
              <w:rPr>
                <w:rFonts w:hint="eastAsia" w:ascii="宋体" w:hAnsi="宋体"/>
                <w:bCs/>
                <w:color w:val="auto"/>
                <w:szCs w:val="21"/>
              </w:rPr>
              <w:t>将有关事故风险的性质、影响范围和应急防范措施告知周边的其他单位和人员</w:t>
            </w:r>
          </w:p>
        </w:tc>
        <w:tc>
          <w:tcPr>
            <w:tcW w:w="4640" w:type="dxa"/>
            <w:vAlign w:val="center"/>
          </w:tcPr>
          <w:p>
            <w:pPr>
              <w:adjustRightInd w:val="0"/>
              <w:snapToGrid w:val="0"/>
              <w:ind w:firstLine="420" w:firstLineChars="200"/>
              <w:rPr>
                <w:rFonts w:ascii="Times New Roman" w:hAnsi="Times New Roman"/>
                <w:color w:val="auto"/>
              </w:rPr>
            </w:pPr>
            <w:r>
              <w:rPr>
                <w:rFonts w:hint="eastAsia" w:ascii="Times New Roman" w:hAnsi="Times New Roman"/>
                <w:color w:val="auto"/>
              </w:rPr>
              <w:t>《生产安全事故应急预案管理办法》第二十四条  ……</w:t>
            </w:r>
          </w:p>
          <w:p>
            <w:pPr>
              <w:adjustRightInd w:val="0"/>
              <w:snapToGrid w:val="0"/>
              <w:ind w:firstLine="420" w:firstLineChars="200"/>
              <w:rPr>
                <w:rFonts w:ascii="宋体" w:hAnsi="宋体"/>
                <w:bCs/>
                <w:color w:val="auto"/>
                <w:szCs w:val="21"/>
              </w:rPr>
            </w:pPr>
            <w:r>
              <w:rPr>
                <w:rFonts w:hint="eastAsia" w:ascii="宋体" w:hAnsi="宋体"/>
                <w:bCs/>
                <w:color w:val="auto"/>
                <w:szCs w:val="21"/>
              </w:rPr>
              <w:t>事故风险可能影响周边其他单位、人员的，生产经营单位应当将有关事故风险的性质、影响范围和应急防范措施告知周边的其他单位和人员。</w:t>
            </w:r>
          </w:p>
        </w:tc>
        <w:tc>
          <w:tcPr>
            <w:tcW w:w="3918"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《生产安全事故应急预案管理办法》第四十五条  生产经营单位有下列情形之一的，由县级以上安全生产监督管理部门责令限期改正，可以处1万元以上3万元以下罚款：</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（三）事故风险可能影响周边单位、人员的，未将事故风险的性质、影响范围和应急防范措施告知周边单位和人员的；</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602" w:hRule="atLeast"/>
          <w:jc w:val="center"/>
        </w:trPr>
        <w:tc>
          <w:tcPr>
            <w:tcW w:w="862" w:type="dxa"/>
            <w:vAlign w:val="center"/>
          </w:tcPr>
          <w:p>
            <w:pPr>
              <w:jc w:val="center"/>
              <w:rPr>
                <w:rFonts w:hint="eastAsia" w:ascii="宋体" w:hAnsi="宋体" w:eastAsia="宋体"/>
                <w:color w:val="auto"/>
                <w:szCs w:val="21"/>
                <w:lang w:val="en-US" w:eastAsia="zh-CN"/>
              </w:rPr>
            </w:pPr>
            <w:r>
              <w:rPr>
                <w:rFonts w:hint="eastAsia" w:ascii="宋体" w:hAnsi="宋体"/>
                <w:color w:val="auto"/>
                <w:szCs w:val="21"/>
              </w:rPr>
              <w:t>2</w:t>
            </w:r>
            <w:r>
              <w:rPr>
                <w:rFonts w:hint="eastAsia" w:ascii="宋体" w:hAnsi="宋体"/>
                <w:color w:val="auto"/>
                <w:szCs w:val="21"/>
                <w:lang w:val="en-US" w:eastAsia="zh-CN"/>
              </w:rPr>
              <w:t>1</w:t>
            </w:r>
          </w:p>
        </w:tc>
        <w:tc>
          <w:tcPr>
            <w:tcW w:w="1777"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应急预案评估情况</w:t>
            </w:r>
          </w:p>
        </w:tc>
        <w:tc>
          <w:tcPr>
            <w:tcW w:w="1863" w:type="dxa"/>
            <w:vAlign w:val="center"/>
          </w:tcPr>
          <w:p>
            <w:pPr>
              <w:adjustRightInd w:val="0"/>
              <w:snapToGrid w:val="0"/>
              <w:rPr>
                <w:rFonts w:ascii="宋体" w:hAnsi="宋体"/>
                <w:bCs/>
                <w:color w:val="auto"/>
                <w:szCs w:val="21"/>
              </w:rPr>
            </w:pPr>
            <w:r>
              <w:rPr>
                <w:rFonts w:hint="eastAsia" w:ascii="Times New Roman" w:hAnsi="Times New Roman"/>
                <w:color w:val="auto"/>
              </w:rPr>
              <w:t>建立应急预案定期评估制度，高危行业领域及中型规模以上生产经营单位每三年进行一次评估</w:t>
            </w:r>
          </w:p>
        </w:tc>
        <w:tc>
          <w:tcPr>
            <w:tcW w:w="4640" w:type="dxa"/>
            <w:vAlign w:val="center"/>
          </w:tcPr>
          <w:p>
            <w:pPr>
              <w:adjustRightInd w:val="0"/>
              <w:snapToGrid w:val="0"/>
              <w:spacing w:line="240" w:lineRule="exact"/>
              <w:ind w:firstLine="420" w:firstLineChars="200"/>
              <w:rPr>
                <w:rFonts w:ascii="Times New Roman" w:hAnsi="Times New Roman"/>
                <w:color w:val="auto"/>
              </w:rPr>
            </w:pPr>
            <w:r>
              <w:rPr>
                <w:rFonts w:hint="eastAsia" w:ascii="Times New Roman" w:hAnsi="Times New Roman"/>
                <w:color w:val="auto"/>
              </w:rPr>
              <w:t>《生产安全事故应急预案管理办法》第三十五条  应急预案编制单位应当建立应急预案定期评估制度，对预案内容的针对性和实用性进行分析，并对应急预案是否需要修订作出结论。</w:t>
            </w:r>
          </w:p>
          <w:p>
            <w:pPr>
              <w:adjustRightInd w:val="0"/>
              <w:snapToGrid w:val="0"/>
              <w:spacing w:line="240" w:lineRule="exact"/>
              <w:ind w:firstLine="420" w:firstLineChars="200"/>
              <w:rPr>
                <w:rFonts w:ascii="Times New Roman" w:hAnsi="Times New Roman"/>
                <w:color w:val="auto"/>
              </w:rPr>
            </w:pPr>
            <w:r>
              <w:rPr>
                <w:rFonts w:hint="eastAsia" w:ascii="Times New Roman" w:hAnsi="Times New Roman"/>
                <w:color w:val="auto"/>
              </w:rPr>
              <w:t>矿山、金属冶炼、建筑施工企业和易燃易爆物品、危险化学品等危险物品的生产、经营、储存、运输企业、使用危险化学品达到国家规定数量的化工企业、烟花爆竹生产、批发经营企业和中型规模以上的其他生产经营单位，应当每三年进行一次应急预案评估。</w:t>
            </w:r>
          </w:p>
          <w:p>
            <w:pPr>
              <w:adjustRightInd w:val="0"/>
              <w:snapToGrid w:val="0"/>
              <w:spacing w:line="240" w:lineRule="exact"/>
              <w:ind w:firstLine="420" w:firstLineChars="200"/>
              <w:rPr>
                <w:rFonts w:ascii="宋体" w:hAnsi="宋体"/>
                <w:bCs/>
                <w:color w:val="auto"/>
                <w:szCs w:val="21"/>
              </w:rPr>
            </w:pPr>
            <w:r>
              <w:rPr>
                <w:rFonts w:hint="eastAsia" w:ascii="Times New Roman" w:hAnsi="Times New Roman"/>
                <w:color w:val="auto"/>
              </w:rPr>
              <w:t>应急预案评估可以邀请相关专业机构或者有关专家、有实际应急救援工作经验的人员参加，必要时可以委托安全生产技术服务机构实施。</w:t>
            </w:r>
          </w:p>
        </w:tc>
        <w:tc>
          <w:tcPr>
            <w:tcW w:w="3918" w:type="dxa"/>
            <w:vAlign w:val="center"/>
          </w:tcPr>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《生产安全事故应急预案管理办法》第四十五条  生产经营单位有下列情形之一的，由县级以上安全生产监督管理部门责令限期改正，可以处1万元以上3万元以下罚款：</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（四）未按照规定开展应急预案评估的；</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288" w:hRule="atLeast"/>
          <w:jc w:val="center"/>
        </w:trPr>
        <w:tc>
          <w:tcPr>
            <w:tcW w:w="862" w:type="dxa"/>
            <w:vAlign w:val="center"/>
          </w:tcPr>
          <w:p>
            <w:pPr>
              <w:jc w:val="center"/>
              <w:rPr>
                <w:rFonts w:hint="eastAsia" w:ascii="宋体" w:hAnsi="宋体" w:eastAsia="宋体"/>
                <w:color w:val="auto"/>
                <w:szCs w:val="21"/>
                <w:lang w:val="en-US" w:eastAsia="zh-CN"/>
              </w:rPr>
            </w:pPr>
            <w:r>
              <w:rPr>
                <w:rFonts w:hint="eastAsia" w:ascii="宋体" w:hAnsi="宋体"/>
                <w:color w:val="auto"/>
                <w:szCs w:val="21"/>
              </w:rPr>
              <w:t>2</w:t>
            </w:r>
            <w:r>
              <w:rPr>
                <w:rFonts w:hint="eastAsia" w:ascii="宋体" w:hAnsi="宋体"/>
                <w:color w:val="auto"/>
                <w:szCs w:val="21"/>
                <w:lang w:val="en-US" w:eastAsia="zh-CN"/>
              </w:rPr>
              <w:t>2</w:t>
            </w:r>
          </w:p>
        </w:tc>
        <w:tc>
          <w:tcPr>
            <w:tcW w:w="1777"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应急预案修订和重新备案情况</w:t>
            </w:r>
          </w:p>
        </w:tc>
        <w:tc>
          <w:tcPr>
            <w:tcW w:w="1863" w:type="dxa"/>
            <w:vAlign w:val="center"/>
          </w:tcPr>
          <w:p>
            <w:pPr>
              <w:widowControl/>
              <w:adjustRightInd w:val="0"/>
              <w:snapToGrid w:val="0"/>
              <w:rPr>
                <w:rFonts w:ascii="宋体" w:hAnsi="宋体"/>
                <w:bCs/>
                <w:color w:val="auto"/>
                <w:szCs w:val="21"/>
              </w:rPr>
            </w:pPr>
            <w:r>
              <w:rPr>
                <w:rFonts w:hint="eastAsia" w:ascii="Times New Roman" w:hAnsi="Times New Roman"/>
                <w:color w:val="auto"/>
              </w:rPr>
              <w:t>应急预案应当及时修订并归档，并按要求进行备案</w:t>
            </w:r>
          </w:p>
        </w:tc>
        <w:tc>
          <w:tcPr>
            <w:tcW w:w="4640" w:type="dxa"/>
            <w:vAlign w:val="center"/>
          </w:tcPr>
          <w:p>
            <w:pPr>
              <w:adjustRightInd w:val="0"/>
              <w:snapToGrid w:val="0"/>
              <w:spacing w:line="240" w:lineRule="exact"/>
              <w:ind w:firstLine="420" w:firstLineChars="200"/>
              <w:rPr>
                <w:rFonts w:ascii="Times New Roman" w:hAnsi="Times New Roman"/>
                <w:color w:val="auto"/>
              </w:rPr>
            </w:pPr>
            <w:r>
              <w:rPr>
                <w:rFonts w:hint="eastAsia" w:ascii="Times New Roman" w:hAnsi="Times New Roman"/>
                <w:color w:val="auto"/>
              </w:rPr>
              <w:t>《生产安全事故应急预案管理办法》第三十六条  有下列情形之一的，应急预案应当及时修订并归档：</w:t>
            </w:r>
          </w:p>
          <w:p>
            <w:pPr>
              <w:adjustRightInd w:val="0"/>
              <w:snapToGrid w:val="0"/>
              <w:spacing w:line="240" w:lineRule="exact"/>
              <w:ind w:firstLine="420" w:firstLineChars="200"/>
              <w:rPr>
                <w:rFonts w:ascii="Times New Roman" w:hAnsi="Times New Roman"/>
                <w:color w:val="auto"/>
              </w:rPr>
            </w:pPr>
            <w:r>
              <w:rPr>
                <w:rFonts w:hint="eastAsia" w:ascii="Times New Roman" w:hAnsi="Times New Roman"/>
                <w:color w:val="auto"/>
              </w:rPr>
              <w:t>（一）依据的法律、法规、规章、标准及上位预案中的有关规定发生重大变化的；</w:t>
            </w:r>
          </w:p>
          <w:p>
            <w:pPr>
              <w:adjustRightInd w:val="0"/>
              <w:snapToGrid w:val="0"/>
              <w:spacing w:line="240" w:lineRule="exact"/>
              <w:ind w:firstLine="420" w:firstLineChars="200"/>
              <w:rPr>
                <w:rFonts w:ascii="Times New Roman" w:hAnsi="Times New Roman"/>
                <w:color w:val="auto"/>
              </w:rPr>
            </w:pPr>
            <w:r>
              <w:rPr>
                <w:rFonts w:hint="eastAsia" w:ascii="Times New Roman" w:hAnsi="Times New Roman"/>
                <w:color w:val="auto"/>
              </w:rPr>
              <w:t>（二）应急指挥机构及其职责发生调整的；</w:t>
            </w:r>
          </w:p>
          <w:p>
            <w:pPr>
              <w:adjustRightInd w:val="0"/>
              <w:snapToGrid w:val="0"/>
              <w:spacing w:line="240" w:lineRule="exact"/>
              <w:ind w:firstLine="420" w:firstLineChars="200"/>
              <w:rPr>
                <w:rFonts w:ascii="Times New Roman" w:hAnsi="Times New Roman"/>
                <w:color w:val="auto"/>
              </w:rPr>
            </w:pPr>
            <w:r>
              <w:rPr>
                <w:rFonts w:hint="eastAsia" w:ascii="Times New Roman" w:hAnsi="Times New Roman"/>
                <w:color w:val="auto"/>
              </w:rPr>
              <w:t>（三）安全生产面临的风险发生重大变化的；</w:t>
            </w:r>
          </w:p>
          <w:p>
            <w:pPr>
              <w:adjustRightInd w:val="0"/>
              <w:snapToGrid w:val="0"/>
              <w:spacing w:line="240" w:lineRule="exact"/>
              <w:ind w:firstLine="420" w:firstLineChars="200"/>
              <w:rPr>
                <w:rFonts w:ascii="Times New Roman" w:hAnsi="Times New Roman"/>
                <w:color w:val="auto"/>
              </w:rPr>
            </w:pPr>
            <w:r>
              <w:rPr>
                <w:rFonts w:hint="eastAsia" w:ascii="Times New Roman" w:hAnsi="Times New Roman"/>
                <w:color w:val="auto"/>
              </w:rPr>
              <w:t>（四）重要应急资源发生重大变化的；</w:t>
            </w:r>
          </w:p>
          <w:p>
            <w:pPr>
              <w:adjustRightInd w:val="0"/>
              <w:snapToGrid w:val="0"/>
              <w:spacing w:line="240" w:lineRule="exact"/>
              <w:ind w:firstLine="420" w:firstLineChars="200"/>
              <w:rPr>
                <w:rFonts w:ascii="Times New Roman" w:hAnsi="Times New Roman"/>
                <w:color w:val="auto"/>
              </w:rPr>
            </w:pPr>
            <w:r>
              <w:rPr>
                <w:rFonts w:hint="eastAsia" w:ascii="Times New Roman" w:hAnsi="Times New Roman"/>
                <w:color w:val="auto"/>
              </w:rPr>
              <w:t>（五）在应急演练和事故应急救援中发现需要修订预案的重大问题的；</w:t>
            </w:r>
          </w:p>
          <w:p>
            <w:pPr>
              <w:adjustRightInd w:val="0"/>
              <w:snapToGrid w:val="0"/>
              <w:spacing w:line="240" w:lineRule="exact"/>
              <w:ind w:firstLine="420" w:firstLineChars="200"/>
              <w:rPr>
                <w:rFonts w:ascii="Times New Roman" w:hAnsi="Times New Roman"/>
                <w:color w:val="auto"/>
              </w:rPr>
            </w:pPr>
            <w:r>
              <w:rPr>
                <w:rFonts w:hint="eastAsia" w:ascii="Times New Roman" w:hAnsi="Times New Roman"/>
                <w:color w:val="auto"/>
              </w:rPr>
              <w:t>（六）编制单位认为应当修订的其他情况。</w:t>
            </w:r>
          </w:p>
          <w:p>
            <w:pPr>
              <w:adjustRightInd w:val="0"/>
              <w:snapToGrid w:val="0"/>
              <w:spacing w:line="240" w:lineRule="exact"/>
              <w:ind w:firstLine="420" w:firstLineChars="200"/>
              <w:rPr>
                <w:rFonts w:ascii="宋体" w:hAnsi="宋体"/>
                <w:bCs/>
                <w:color w:val="auto"/>
                <w:szCs w:val="21"/>
              </w:rPr>
            </w:pPr>
            <w:r>
              <w:rPr>
                <w:rFonts w:hint="eastAsia" w:ascii="宋体" w:hAnsi="宋体"/>
                <w:bCs/>
                <w:color w:val="auto"/>
                <w:szCs w:val="21"/>
              </w:rPr>
              <w:t>第三十七条　应急预案修订涉及组织指挥体系与职责、应急处置程序、主要处置措施、应急响应分级等内容变更的，修订工作应当参照本办法规定的应急预案编制程序进行，并按照有关应急预案报备程序重新备案。</w:t>
            </w:r>
          </w:p>
        </w:tc>
        <w:tc>
          <w:tcPr>
            <w:tcW w:w="3918" w:type="dxa"/>
            <w:vAlign w:val="center"/>
          </w:tcPr>
          <w:p>
            <w:pPr>
              <w:widowControl/>
              <w:adjustRightInd w:val="0"/>
              <w:snapToGrid w:val="0"/>
              <w:ind w:firstLine="420" w:firstLineChars="200"/>
              <w:rPr>
                <w:rFonts w:ascii="宋体" w:hAnsi="宋体" w:cs="宋体"/>
                <w:color w:val="auto"/>
                <w:kern w:val="0"/>
                <w:szCs w:val="21"/>
              </w:rPr>
            </w:pPr>
            <w:r>
              <w:rPr>
                <w:rFonts w:hint="eastAsia" w:ascii="Times New Roman" w:hAnsi="Times New Roman"/>
                <w:color w:val="auto"/>
              </w:rPr>
              <w:t>《生产安全事故应急预案管理办法》</w:t>
            </w:r>
            <w:r>
              <w:rPr>
                <w:rFonts w:hint="eastAsia" w:ascii="宋体" w:hAnsi="宋体" w:cs="宋体"/>
                <w:color w:val="auto"/>
                <w:kern w:val="0"/>
                <w:szCs w:val="21"/>
              </w:rPr>
              <w:t>第四十五条  生产经营单位有下列情形之一的，由县级以上安全生产监督管理部门责令限期改正，可以处1万元以上3万元以下罚款：</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w:t>
            </w:r>
          </w:p>
          <w:p>
            <w:pPr>
              <w:widowControl/>
              <w:numPr>
                <w:ilvl w:val="255"/>
                <w:numId w:val="0"/>
              </w:numPr>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（五）未按照规定进行应急预案修订的；</w:t>
            </w:r>
          </w:p>
          <w:p>
            <w:pPr>
              <w:widowControl/>
              <w:adjustRightInd w:val="0"/>
              <w:snapToGrid w:val="0"/>
              <w:ind w:left="420" w:leftChars="200"/>
              <w:rPr>
                <w:rFonts w:ascii="宋体" w:hAnsi="宋体" w:cs="宋体"/>
                <w:color w:val="auto"/>
                <w:kern w:val="0"/>
                <w:szCs w:val="21"/>
              </w:rPr>
            </w:pPr>
            <w:r>
              <w:rPr>
                <w:rFonts w:hint="eastAsia" w:ascii="宋体" w:hAnsi="宋体" w:cs="宋体"/>
                <w:color w:val="auto"/>
                <w:kern w:val="0"/>
                <w:szCs w:val="21"/>
              </w:rPr>
              <w:t>……</w:t>
            </w:r>
          </w:p>
          <w:p>
            <w:pPr>
              <w:widowControl/>
              <w:adjustRightInd w:val="0"/>
              <w:snapToGrid w:val="0"/>
              <w:ind w:firstLine="420" w:firstLineChars="200"/>
              <w:rPr>
                <w:rFonts w:ascii="宋体" w:hAnsi="宋体" w:cs="宋体"/>
                <w:color w:val="auto"/>
                <w:kern w:val="0"/>
                <w:szCs w:val="21"/>
              </w:rPr>
            </w:pPr>
            <w:r>
              <w:rPr>
                <w:rFonts w:hint="eastAsia" w:ascii="宋体" w:hAnsi="宋体" w:cs="宋体"/>
                <w:color w:val="auto"/>
                <w:kern w:val="0"/>
                <w:szCs w:val="21"/>
              </w:rPr>
              <w:t>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020" w:hRule="atLeast"/>
          <w:jc w:val="center"/>
        </w:trPr>
        <w:tc>
          <w:tcPr>
            <w:tcW w:w="862" w:type="dxa"/>
            <w:vAlign w:val="center"/>
          </w:tcPr>
          <w:p>
            <w:pPr>
              <w:jc w:val="center"/>
              <w:rPr>
                <w:rFonts w:hint="eastAsia" w:ascii="宋体" w:hAnsi="宋体" w:eastAsia="宋体"/>
                <w:color w:val="auto"/>
                <w:szCs w:val="21"/>
                <w:lang w:val="en-US" w:eastAsia="zh-CN"/>
              </w:rPr>
            </w:pPr>
            <w:r>
              <w:rPr>
                <w:rFonts w:hint="eastAsia" w:ascii="宋体" w:hAnsi="宋体"/>
                <w:color w:val="auto"/>
                <w:szCs w:val="21"/>
              </w:rPr>
              <w:t>2</w:t>
            </w:r>
            <w:r>
              <w:rPr>
                <w:rFonts w:hint="eastAsia" w:ascii="宋体" w:hAnsi="宋体"/>
                <w:color w:val="auto"/>
                <w:szCs w:val="21"/>
                <w:lang w:val="en-US" w:eastAsia="zh-CN"/>
              </w:rPr>
              <w:t>3</w:t>
            </w:r>
          </w:p>
        </w:tc>
        <w:tc>
          <w:tcPr>
            <w:tcW w:w="1777" w:type="dxa"/>
            <w:vAlign w:val="center"/>
          </w:tcPr>
          <w:p>
            <w:pPr>
              <w:widowControl/>
              <w:adjustRightInd w:val="0"/>
              <w:snapToGrid w:val="0"/>
              <w:rPr>
                <w:rFonts w:ascii="宋体" w:hAnsi="宋体" w:cs="宋体"/>
                <w:color w:val="auto"/>
                <w:kern w:val="0"/>
                <w:szCs w:val="21"/>
              </w:rPr>
            </w:pPr>
            <w:r>
              <w:rPr>
                <w:rFonts w:hint="eastAsia" w:ascii="宋体" w:hAnsi="宋体" w:cs="宋体"/>
                <w:color w:val="auto"/>
                <w:kern w:val="0"/>
                <w:szCs w:val="21"/>
              </w:rPr>
              <w:t>应急物资及装备情况</w:t>
            </w:r>
          </w:p>
        </w:tc>
        <w:tc>
          <w:tcPr>
            <w:tcW w:w="1863" w:type="dxa"/>
            <w:vAlign w:val="center"/>
          </w:tcPr>
          <w:p>
            <w:pPr>
              <w:widowControl/>
              <w:adjustRightInd w:val="0"/>
              <w:snapToGrid w:val="0"/>
              <w:rPr>
                <w:rFonts w:ascii="宋体" w:hAnsi="宋体"/>
                <w:bCs/>
                <w:color w:val="auto"/>
                <w:szCs w:val="21"/>
              </w:rPr>
            </w:pPr>
            <w:r>
              <w:rPr>
                <w:rFonts w:hint="eastAsia" w:ascii="宋体" w:hAnsi="宋体"/>
                <w:bCs/>
                <w:color w:val="auto"/>
                <w:szCs w:val="21"/>
              </w:rPr>
              <w:t>按照应急预案的规定，落实应急物资及装备</w:t>
            </w:r>
          </w:p>
        </w:tc>
        <w:tc>
          <w:tcPr>
            <w:tcW w:w="4640" w:type="dxa"/>
            <w:vAlign w:val="center"/>
          </w:tcPr>
          <w:p>
            <w:pPr>
              <w:adjustRightInd w:val="0"/>
              <w:snapToGrid w:val="0"/>
              <w:spacing w:line="240" w:lineRule="exact"/>
              <w:ind w:firstLine="420" w:firstLineChars="200"/>
              <w:rPr>
                <w:rFonts w:ascii="宋体" w:hAnsi="宋体"/>
                <w:bCs/>
                <w:color w:val="auto"/>
                <w:szCs w:val="21"/>
              </w:rPr>
            </w:pPr>
            <w:r>
              <w:rPr>
                <w:rFonts w:hint="eastAsia" w:ascii="Times New Roman" w:hAnsi="Times New Roman"/>
                <w:color w:val="auto"/>
              </w:rPr>
              <w:t>《生产安全事故应急预案管理办法》第三十八条　生产经营单位应当按照应急预案的规定，落实应急指挥体系、应急救援队伍、应急物资及装备，建立应急物资、装备配备及其使用档案，并对应急物资、装备进行定期检测和维护，使其处于适用状态。</w:t>
            </w:r>
          </w:p>
        </w:tc>
        <w:tc>
          <w:tcPr>
            <w:tcW w:w="3918" w:type="dxa"/>
            <w:vAlign w:val="center"/>
          </w:tcPr>
          <w:p>
            <w:pPr>
              <w:widowControl/>
              <w:adjustRightInd w:val="0"/>
              <w:snapToGrid w:val="0"/>
              <w:spacing w:line="240" w:lineRule="exact"/>
              <w:ind w:firstLine="420" w:firstLineChars="200"/>
              <w:rPr>
                <w:rFonts w:ascii="宋体" w:hAnsi="宋体" w:cs="宋体"/>
                <w:color w:val="auto"/>
                <w:kern w:val="0"/>
                <w:szCs w:val="21"/>
              </w:rPr>
            </w:pPr>
            <w:r>
              <w:rPr>
                <w:rFonts w:hint="eastAsia" w:ascii="Times New Roman" w:hAnsi="Times New Roman"/>
                <w:color w:val="auto"/>
              </w:rPr>
              <w:t>《生产安全事故应急预案管理办法》</w:t>
            </w:r>
            <w:r>
              <w:rPr>
                <w:rFonts w:hint="eastAsia" w:ascii="宋体" w:hAnsi="宋体" w:cs="宋体"/>
                <w:color w:val="auto"/>
                <w:kern w:val="0"/>
                <w:szCs w:val="21"/>
              </w:rPr>
              <w:t>第四十五条  生产经营单位有下列情形之一的，由县级以上安全生产监督管理部门责令限期改正，可以处1万元以上3万元以下罚款：</w:t>
            </w:r>
          </w:p>
          <w:p>
            <w:pPr>
              <w:widowControl/>
              <w:adjustRightInd w:val="0"/>
              <w:snapToGrid w:val="0"/>
              <w:spacing w:line="240" w:lineRule="exact"/>
              <w:ind w:firstLine="420" w:firstLineChars="200"/>
              <w:rPr>
                <w:rFonts w:ascii="宋体" w:hAnsi="宋体" w:cs="宋体"/>
                <w:color w:val="auto"/>
                <w:kern w:val="0"/>
                <w:szCs w:val="21"/>
              </w:rPr>
            </w:pPr>
            <w:r>
              <w:rPr>
                <w:rFonts w:hint="eastAsia" w:ascii="宋体" w:hAnsi="宋体" w:cs="宋体"/>
                <w:color w:val="auto"/>
                <w:kern w:val="0"/>
                <w:szCs w:val="21"/>
              </w:rPr>
              <w:t>……</w:t>
            </w:r>
          </w:p>
          <w:p>
            <w:pPr>
              <w:widowControl/>
              <w:numPr>
                <w:ilvl w:val="255"/>
                <w:numId w:val="0"/>
              </w:numPr>
              <w:adjustRightInd w:val="0"/>
              <w:snapToGrid w:val="0"/>
              <w:spacing w:line="240" w:lineRule="exact"/>
              <w:ind w:firstLine="420" w:firstLineChars="200"/>
              <w:rPr>
                <w:rFonts w:ascii="Times New Roman" w:hAnsi="Times New Roman"/>
                <w:color w:val="auto"/>
              </w:rPr>
            </w:pPr>
            <w:r>
              <w:rPr>
                <w:rFonts w:hint="eastAsia" w:ascii="Times New Roman" w:hAnsi="Times New Roman"/>
                <w:color w:val="auto"/>
              </w:rPr>
              <w:t>（六）未落实应急预案规定的应急物资及装备的。</w:t>
            </w:r>
          </w:p>
          <w:p>
            <w:pPr>
              <w:widowControl/>
              <w:adjustRightInd w:val="0"/>
              <w:snapToGrid w:val="0"/>
              <w:spacing w:line="240" w:lineRule="exact"/>
              <w:ind w:left="420" w:leftChars="200" w:firstLine="210" w:firstLineChars="100"/>
              <w:rPr>
                <w:rFonts w:ascii="Times New Roman" w:hAnsi="Times New Roman"/>
                <w:color w:val="auto"/>
              </w:rPr>
            </w:pPr>
            <w:r>
              <w:rPr>
                <w:rFonts w:hint="eastAsia" w:ascii="Times New Roman" w:hAnsi="Times New Roman"/>
                <w:color w:val="auto"/>
              </w:rPr>
              <w:t>……</w:t>
            </w:r>
          </w:p>
        </w:tc>
        <w:tc>
          <w:tcPr>
            <w:tcW w:w="819" w:type="dxa"/>
            <w:vAlign w:val="center"/>
          </w:tcPr>
          <w:p>
            <w:pPr>
              <w:widowControl/>
              <w:adjustRightInd w:val="0"/>
              <w:snapToGrid w:val="0"/>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020" w:hRule="atLeast"/>
          <w:jc w:val="center"/>
        </w:trPr>
        <w:tc>
          <w:tcPr>
            <w:tcW w:w="862" w:type="dxa"/>
            <w:vMerge w:val="restart"/>
            <w:vAlign w:val="center"/>
          </w:tcPr>
          <w:p>
            <w:pPr>
              <w:jc w:val="center"/>
              <w:rPr>
                <w:rFonts w:hint="eastAsia" w:ascii="宋体" w:hAnsi="宋体"/>
                <w:color w:val="auto"/>
                <w:szCs w:val="21"/>
                <w:lang w:val="en-US" w:eastAsia="zh-CN"/>
              </w:rPr>
            </w:pPr>
            <w:r>
              <w:rPr>
                <w:rFonts w:hint="eastAsia" w:ascii="宋体" w:hAnsi="宋体"/>
                <w:color w:val="auto"/>
                <w:szCs w:val="21"/>
                <w:lang w:val="en-US" w:eastAsia="zh-CN"/>
              </w:rPr>
              <w:t>24</w:t>
            </w:r>
          </w:p>
        </w:tc>
        <w:tc>
          <w:tcPr>
            <w:tcW w:w="1777" w:type="dxa"/>
            <w:vMerge w:val="restart"/>
            <w:vAlign w:val="center"/>
          </w:tcPr>
          <w:p>
            <w:pPr>
              <w:jc w:val="both"/>
              <w:rPr>
                <w:rFonts w:hint="eastAsia" w:ascii="宋体" w:hAnsi="宋体"/>
                <w:color w:val="auto"/>
                <w:szCs w:val="21"/>
              </w:rPr>
            </w:pPr>
            <w:r>
              <w:rPr>
                <w:rFonts w:hint="eastAsia" w:ascii="宋体" w:hAnsi="宋体"/>
                <w:color w:val="auto"/>
                <w:szCs w:val="21"/>
              </w:rPr>
              <w:t>承担安全评价、认证、检测、检验职责的机构出具报告</w:t>
            </w:r>
            <w:r>
              <w:rPr>
                <w:rFonts w:hint="eastAsia" w:ascii="宋体" w:hAnsi="宋体"/>
                <w:color w:val="auto"/>
                <w:szCs w:val="21"/>
                <w:lang w:eastAsia="zh-CN"/>
              </w:rPr>
              <w:t>情况</w:t>
            </w:r>
          </w:p>
        </w:tc>
        <w:tc>
          <w:tcPr>
            <w:tcW w:w="1863" w:type="dxa"/>
            <w:vAlign w:val="center"/>
          </w:tcPr>
          <w:p>
            <w:pPr>
              <w:jc w:val="both"/>
              <w:rPr>
                <w:rFonts w:hint="eastAsia" w:ascii="宋体" w:hAnsi="宋体"/>
                <w:color w:val="auto"/>
                <w:szCs w:val="21"/>
              </w:rPr>
            </w:pPr>
            <w:r>
              <w:rPr>
                <w:rFonts w:hint="eastAsia" w:ascii="宋体" w:hAnsi="宋体"/>
                <w:color w:val="auto"/>
                <w:szCs w:val="21"/>
                <w:lang w:val="en-US" w:eastAsia="zh-CN"/>
              </w:rPr>
              <w:t>24.1</w:t>
            </w:r>
            <w:r>
              <w:rPr>
                <w:rFonts w:hint="eastAsia" w:ascii="宋体" w:hAnsi="宋体"/>
                <w:color w:val="auto"/>
                <w:szCs w:val="21"/>
              </w:rPr>
              <w:t>承担安全评价、认证、检测、检验职责的机构应当具备国家规定的资质条件，并对其作出的安全评价、认证、检测、检验结果的合法性、真实性负责。</w:t>
            </w:r>
          </w:p>
        </w:tc>
        <w:tc>
          <w:tcPr>
            <w:tcW w:w="4640" w:type="dxa"/>
            <w:vAlign w:val="center"/>
          </w:tcPr>
          <w:p>
            <w:pPr>
              <w:ind w:firstLine="420" w:firstLineChars="200"/>
              <w:jc w:val="both"/>
              <w:rPr>
                <w:rFonts w:hint="eastAsia" w:ascii="宋体" w:hAnsi="宋体"/>
                <w:color w:val="auto"/>
                <w:szCs w:val="21"/>
              </w:rPr>
            </w:pPr>
            <w:r>
              <w:rPr>
                <w:rFonts w:hint="eastAsia" w:ascii="宋体" w:hAnsi="宋体"/>
                <w:color w:val="auto"/>
                <w:szCs w:val="21"/>
                <w:lang w:eastAsia="zh-CN"/>
              </w:rPr>
              <w:t>《中华人民共和国安全生产法》</w:t>
            </w:r>
            <w:r>
              <w:rPr>
                <w:rFonts w:hint="eastAsia" w:ascii="宋体" w:hAnsi="宋体"/>
                <w:color w:val="auto"/>
                <w:szCs w:val="21"/>
              </w:rPr>
              <w:t>第七十二条　承担安全评价、认证、检测、检验职责的机构应当具备国家规定的资质条件，并对其作出的安全评价、认证、检测、检验结果的合法性、真实性负责。资质条件由国务院应急管理部门会同国务院有关部门制定。</w:t>
            </w:r>
          </w:p>
          <w:p>
            <w:pPr>
              <w:jc w:val="both"/>
              <w:rPr>
                <w:rFonts w:hint="eastAsia" w:ascii="宋体" w:hAnsi="宋体"/>
                <w:color w:val="auto"/>
                <w:szCs w:val="21"/>
              </w:rPr>
            </w:pPr>
          </w:p>
        </w:tc>
        <w:tc>
          <w:tcPr>
            <w:tcW w:w="3918" w:type="dxa"/>
            <w:vAlign w:val="center"/>
          </w:tcPr>
          <w:p>
            <w:pPr>
              <w:ind w:firstLine="420" w:firstLineChars="200"/>
              <w:jc w:val="both"/>
              <w:rPr>
                <w:rFonts w:hint="eastAsia" w:ascii="宋体" w:hAnsi="宋体"/>
                <w:color w:val="auto"/>
                <w:szCs w:val="21"/>
              </w:rPr>
            </w:pPr>
            <w:r>
              <w:rPr>
                <w:rFonts w:hint="eastAsia" w:ascii="宋体" w:hAnsi="宋体"/>
                <w:color w:val="auto"/>
                <w:szCs w:val="21"/>
                <w:lang w:eastAsia="zh-CN"/>
              </w:rPr>
              <w:t>《中华人民共和国安全生产法》</w:t>
            </w:r>
            <w:r>
              <w:rPr>
                <w:rFonts w:hint="eastAsia" w:ascii="宋体" w:hAnsi="宋体"/>
                <w:color w:val="auto"/>
                <w:szCs w:val="21"/>
              </w:rPr>
              <w:t>第九十二条　承担安全评价、认证、检测、检验职责的机构出具失实报告的，责令停业整顿，并处三万元以上十万元以下的罚款；给他人造成损害的，依法承担赔偿责任。</w:t>
            </w:r>
          </w:p>
        </w:tc>
        <w:tc>
          <w:tcPr>
            <w:tcW w:w="819" w:type="dxa"/>
            <w:vAlign w:val="center"/>
          </w:tcPr>
          <w:p>
            <w:pPr>
              <w:jc w:val="both"/>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020" w:hRule="atLeast"/>
          <w:jc w:val="center"/>
        </w:trPr>
        <w:tc>
          <w:tcPr>
            <w:tcW w:w="862" w:type="dxa"/>
            <w:vMerge w:val="continue"/>
            <w:vAlign w:val="center"/>
          </w:tcPr>
          <w:p>
            <w:pPr>
              <w:jc w:val="center"/>
              <w:rPr>
                <w:rFonts w:hint="eastAsia" w:ascii="宋体" w:hAnsi="宋体"/>
                <w:color w:val="auto"/>
                <w:szCs w:val="21"/>
                <w:lang w:val="en-US" w:eastAsia="zh-CN"/>
              </w:rPr>
            </w:pPr>
          </w:p>
        </w:tc>
        <w:tc>
          <w:tcPr>
            <w:tcW w:w="1777" w:type="dxa"/>
            <w:vMerge w:val="continue"/>
            <w:vAlign w:val="center"/>
          </w:tcPr>
          <w:p>
            <w:pPr>
              <w:jc w:val="both"/>
              <w:rPr>
                <w:rFonts w:hint="eastAsia" w:ascii="宋体" w:hAnsi="宋体"/>
                <w:color w:val="auto"/>
                <w:szCs w:val="21"/>
              </w:rPr>
            </w:pPr>
          </w:p>
        </w:tc>
        <w:tc>
          <w:tcPr>
            <w:tcW w:w="1863" w:type="dxa"/>
            <w:vAlign w:val="center"/>
          </w:tcPr>
          <w:p>
            <w:pPr>
              <w:jc w:val="both"/>
              <w:rPr>
                <w:rFonts w:hint="eastAsia" w:ascii="宋体" w:hAnsi="宋体"/>
                <w:color w:val="auto"/>
                <w:szCs w:val="21"/>
              </w:rPr>
            </w:pPr>
            <w:r>
              <w:rPr>
                <w:rFonts w:hint="eastAsia" w:ascii="宋体" w:hAnsi="宋体"/>
                <w:color w:val="auto"/>
                <w:szCs w:val="21"/>
                <w:lang w:val="en-US" w:eastAsia="zh-CN"/>
              </w:rPr>
              <w:t>24.2</w:t>
            </w:r>
            <w:r>
              <w:rPr>
                <w:rFonts w:hint="eastAsia" w:ascii="宋体" w:hAnsi="宋体"/>
                <w:color w:val="auto"/>
                <w:szCs w:val="21"/>
              </w:rPr>
              <w:t>承担安全评价、认证、检测、检验职责的机构不得租借资质、挂靠、出具虚假报告。</w:t>
            </w:r>
          </w:p>
          <w:p>
            <w:pPr>
              <w:jc w:val="both"/>
              <w:rPr>
                <w:rFonts w:hint="eastAsia" w:ascii="宋体" w:hAnsi="宋体" w:eastAsia="宋体"/>
                <w:color w:val="auto"/>
                <w:szCs w:val="21"/>
                <w:lang w:val="en-US" w:eastAsia="zh-CN"/>
              </w:rPr>
            </w:pPr>
          </w:p>
        </w:tc>
        <w:tc>
          <w:tcPr>
            <w:tcW w:w="4640" w:type="dxa"/>
            <w:vAlign w:val="center"/>
          </w:tcPr>
          <w:p>
            <w:pPr>
              <w:ind w:firstLine="420" w:firstLineChars="200"/>
              <w:jc w:val="both"/>
              <w:rPr>
                <w:rFonts w:hint="eastAsia" w:ascii="宋体" w:hAnsi="宋体"/>
                <w:color w:val="auto"/>
                <w:szCs w:val="21"/>
                <w:lang w:val="en-US" w:eastAsia="zh-CN"/>
              </w:rPr>
            </w:pPr>
            <w:r>
              <w:rPr>
                <w:rFonts w:hint="eastAsia" w:ascii="宋体" w:hAnsi="宋体"/>
                <w:color w:val="auto"/>
                <w:szCs w:val="21"/>
                <w:lang w:eastAsia="zh-CN"/>
              </w:rPr>
              <w:t>《中华人民共和国安全生产法》</w:t>
            </w:r>
            <w:r>
              <w:rPr>
                <w:rFonts w:hint="eastAsia" w:ascii="宋体" w:hAnsi="宋体"/>
                <w:color w:val="auto"/>
                <w:szCs w:val="21"/>
              </w:rPr>
              <w:t>第七十二条</w:t>
            </w:r>
            <w:r>
              <w:rPr>
                <w:rFonts w:hint="eastAsia" w:ascii="宋体" w:hAnsi="宋体"/>
                <w:color w:val="auto"/>
                <w:szCs w:val="21"/>
                <w:lang w:val="en-US" w:eastAsia="zh-CN"/>
              </w:rPr>
              <w:t xml:space="preserve">  ……</w:t>
            </w:r>
          </w:p>
          <w:p>
            <w:pPr>
              <w:ind w:firstLine="420" w:firstLineChars="200"/>
              <w:jc w:val="both"/>
              <w:rPr>
                <w:rFonts w:hint="eastAsia" w:ascii="宋体" w:hAnsi="宋体"/>
                <w:color w:val="auto"/>
                <w:szCs w:val="21"/>
              </w:rPr>
            </w:pPr>
            <w:r>
              <w:rPr>
                <w:rFonts w:hint="eastAsia" w:ascii="宋体" w:hAnsi="宋体"/>
                <w:color w:val="auto"/>
                <w:szCs w:val="21"/>
              </w:rPr>
              <w:t>承担安全评价、认证、检测、检验职责的机构应当建立并实施服务公开和报告公开制度，不得租借资质、挂靠、出具虚假报告。</w:t>
            </w:r>
          </w:p>
          <w:p>
            <w:pPr>
              <w:jc w:val="both"/>
              <w:rPr>
                <w:rFonts w:hint="eastAsia" w:ascii="宋体" w:hAnsi="宋体"/>
                <w:color w:val="auto"/>
                <w:szCs w:val="21"/>
              </w:rPr>
            </w:pPr>
          </w:p>
        </w:tc>
        <w:tc>
          <w:tcPr>
            <w:tcW w:w="3918" w:type="dxa"/>
            <w:vAlign w:val="center"/>
          </w:tcPr>
          <w:p>
            <w:pPr>
              <w:ind w:firstLine="420" w:firstLineChars="200"/>
              <w:jc w:val="both"/>
              <w:rPr>
                <w:rFonts w:hint="eastAsia" w:ascii="宋体" w:hAnsi="宋体"/>
                <w:color w:val="auto"/>
                <w:szCs w:val="21"/>
                <w:lang w:val="en-US" w:eastAsia="zh-CN"/>
              </w:rPr>
            </w:pPr>
            <w:r>
              <w:rPr>
                <w:rFonts w:hint="eastAsia" w:ascii="宋体" w:hAnsi="宋体"/>
                <w:color w:val="auto"/>
                <w:szCs w:val="21"/>
                <w:lang w:eastAsia="zh-CN"/>
              </w:rPr>
              <w:t>《中华人民共和国安全生产法》</w:t>
            </w:r>
            <w:r>
              <w:rPr>
                <w:rFonts w:hint="eastAsia" w:ascii="宋体" w:hAnsi="宋体"/>
                <w:color w:val="auto"/>
                <w:szCs w:val="21"/>
              </w:rPr>
              <w:t>第九十二条</w:t>
            </w:r>
            <w:r>
              <w:rPr>
                <w:rFonts w:hint="eastAsia" w:ascii="宋体" w:hAnsi="宋体"/>
                <w:color w:val="auto"/>
                <w:szCs w:val="21"/>
                <w:lang w:val="en-US" w:eastAsia="zh-CN"/>
              </w:rPr>
              <w:t xml:space="preserve"> ……</w:t>
            </w:r>
          </w:p>
          <w:p>
            <w:pPr>
              <w:ind w:firstLine="420" w:firstLineChars="200"/>
              <w:jc w:val="both"/>
              <w:rPr>
                <w:rFonts w:hint="eastAsia" w:ascii="宋体" w:hAnsi="宋体"/>
                <w:color w:val="auto"/>
                <w:szCs w:val="21"/>
              </w:rPr>
            </w:pPr>
            <w:r>
              <w:rPr>
                <w:rFonts w:hint="eastAsia" w:ascii="宋体" w:hAnsi="宋体"/>
                <w:color w:val="auto"/>
                <w:szCs w:val="21"/>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r>
              <w:rPr>
                <w:rFonts w:hint="eastAsia" w:ascii="宋体" w:hAnsi="宋体"/>
                <w:color w:val="auto"/>
                <w:szCs w:val="21"/>
                <w:lang w:val="en-US" w:eastAsia="zh-CN"/>
              </w:rPr>
              <w:t xml:space="preserve">     </w:t>
            </w:r>
            <w:r>
              <w:rPr>
                <w:rFonts w:hint="eastAsia" w:ascii="宋体" w:hAnsi="宋体"/>
                <w:color w:val="auto"/>
                <w:szCs w:val="21"/>
              </w:rPr>
              <w:t>　　</w:t>
            </w:r>
            <w:r>
              <w:rPr>
                <w:rFonts w:hint="eastAsia" w:ascii="宋体" w:hAnsi="宋体"/>
                <w:color w:val="auto"/>
                <w:szCs w:val="21"/>
                <w:lang w:val="en-US" w:eastAsia="zh-CN"/>
              </w:rPr>
              <w:t xml:space="preserve">                </w:t>
            </w:r>
            <w:r>
              <w:rPr>
                <w:rFonts w:hint="eastAsia" w:ascii="宋体" w:hAnsi="宋体"/>
                <w:color w:val="auto"/>
                <w:szCs w:val="21"/>
              </w:rPr>
              <w:t>对有前款违法行为的机构及其直接责任人员，吊销其相应资质和资格，五年内不得从事安全评价、认证、检测、检验等工作；情节严重的，实行终身行业和职业禁入。</w:t>
            </w:r>
          </w:p>
          <w:p>
            <w:pPr>
              <w:ind w:firstLine="420" w:firstLineChars="200"/>
              <w:jc w:val="both"/>
              <w:rPr>
                <w:rFonts w:hint="eastAsia" w:ascii="宋体" w:hAnsi="宋体"/>
                <w:color w:val="auto"/>
                <w:szCs w:val="21"/>
              </w:rPr>
            </w:pPr>
          </w:p>
          <w:p>
            <w:pPr>
              <w:ind w:firstLine="420" w:firstLineChars="200"/>
              <w:jc w:val="both"/>
              <w:rPr>
                <w:rFonts w:hint="eastAsia" w:ascii="宋体" w:hAnsi="宋体"/>
                <w:color w:val="auto"/>
                <w:szCs w:val="21"/>
              </w:rPr>
            </w:pPr>
          </w:p>
        </w:tc>
        <w:tc>
          <w:tcPr>
            <w:tcW w:w="819" w:type="dxa"/>
            <w:vAlign w:val="center"/>
          </w:tcPr>
          <w:p>
            <w:pPr>
              <w:jc w:val="both"/>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020" w:hRule="atLeast"/>
          <w:jc w:val="center"/>
        </w:trPr>
        <w:tc>
          <w:tcPr>
            <w:tcW w:w="862" w:type="dxa"/>
            <w:vAlign w:val="center"/>
          </w:tcPr>
          <w:p>
            <w:pPr>
              <w:jc w:val="center"/>
              <w:rPr>
                <w:rFonts w:hint="eastAsia" w:ascii="宋体" w:hAnsi="宋体"/>
                <w:color w:val="auto"/>
                <w:szCs w:val="21"/>
                <w:lang w:val="en-US" w:eastAsia="zh-CN"/>
              </w:rPr>
            </w:pPr>
          </w:p>
          <w:p>
            <w:pPr>
              <w:jc w:val="center"/>
              <w:rPr>
                <w:rFonts w:hint="eastAsia" w:ascii="宋体" w:hAnsi="宋体"/>
                <w:color w:val="auto"/>
                <w:szCs w:val="21"/>
                <w:lang w:val="en-US" w:eastAsia="zh-CN"/>
              </w:rPr>
            </w:pPr>
          </w:p>
          <w:p>
            <w:pPr>
              <w:jc w:val="center"/>
              <w:rPr>
                <w:rFonts w:hint="eastAsia" w:ascii="宋体" w:hAnsi="宋体"/>
                <w:color w:val="auto"/>
                <w:szCs w:val="21"/>
                <w:lang w:val="en-US" w:eastAsia="zh-CN"/>
              </w:rPr>
            </w:pPr>
          </w:p>
          <w:p>
            <w:pPr>
              <w:jc w:val="center"/>
              <w:rPr>
                <w:rFonts w:hint="eastAsia" w:ascii="宋体" w:hAnsi="宋体"/>
                <w:color w:val="auto"/>
                <w:szCs w:val="21"/>
                <w:lang w:val="en-US" w:eastAsia="zh-CN"/>
              </w:rPr>
            </w:pPr>
            <w:r>
              <w:rPr>
                <w:rFonts w:hint="eastAsia" w:ascii="宋体" w:hAnsi="宋体"/>
                <w:color w:val="auto"/>
                <w:szCs w:val="21"/>
                <w:lang w:val="en-US" w:eastAsia="zh-CN"/>
              </w:rPr>
              <w:t>25</w:t>
            </w:r>
          </w:p>
        </w:tc>
        <w:tc>
          <w:tcPr>
            <w:tcW w:w="1777" w:type="dxa"/>
            <w:vAlign w:val="center"/>
          </w:tcPr>
          <w:p>
            <w:pPr>
              <w:jc w:val="both"/>
              <w:rPr>
                <w:rFonts w:hint="eastAsia" w:ascii="宋体" w:hAnsi="宋体"/>
                <w:color w:val="auto"/>
                <w:szCs w:val="21"/>
                <w:lang w:eastAsia="zh-CN"/>
              </w:rPr>
            </w:pPr>
            <w:r>
              <w:rPr>
                <w:rFonts w:hint="eastAsia" w:ascii="宋体" w:hAnsi="宋体"/>
                <w:color w:val="auto"/>
                <w:szCs w:val="21"/>
                <w:lang w:eastAsia="zh-CN"/>
              </w:rPr>
              <w:t>高危行业配备注册安全工程师情况</w:t>
            </w:r>
          </w:p>
        </w:tc>
        <w:tc>
          <w:tcPr>
            <w:tcW w:w="1863" w:type="dxa"/>
            <w:vAlign w:val="center"/>
          </w:tcPr>
          <w:p>
            <w:pPr>
              <w:jc w:val="both"/>
              <w:rPr>
                <w:rFonts w:hint="eastAsia" w:ascii="宋体" w:hAnsi="宋体"/>
                <w:color w:val="auto"/>
                <w:szCs w:val="21"/>
                <w:lang w:val="en-US" w:eastAsia="zh-CN"/>
              </w:rPr>
            </w:pPr>
            <w:r>
              <w:rPr>
                <w:rFonts w:hint="eastAsia" w:ascii="宋体" w:hAnsi="宋体"/>
                <w:color w:val="auto"/>
                <w:szCs w:val="21"/>
              </w:rPr>
              <w:t>危险物品的生产、储存、装卸单位以及矿山、金属冶炼单位应当有注册安全工程师从事安全生产管理工作。</w:t>
            </w:r>
          </w:p>
        </w:tc>
        <w:tc>
          <w:tcPr>
            <w:tcW w:w="4640" w:type="dxa"/>
            <w:vAlign w:val="center"/>
          </w:tcPr>
          <w:p>
            <w:pPr>
              <w:ind w:firstLine="420" w:firstLineChars="200"/>
              <w:jc w:val="both"/>
              <w:rPr>
                <w:rFonts w:hint="eastAsia" w:ascii="宋体" w:hAnsi="宋体"/>
                <w:color w:val="auto"/>
                <w:szCs w:val="21"/>
              </w:rPr>
            </w:pPr>
            <w:r>
              <w:rPr>
                <w:rFonts w:hint="eastAsia" w:ascii="宋体" w:hAnsi="宋体"/>
                <w:color w:val="auto"/>
                <w:szCs w:val="21"/>
                <w:lang w:eastAsia="zh-CN"/>
              </w:rPr>
              <w:t>《中华人民共和国安全生产法》</w:t>
            </w:r>
            <w:r>
              <w:rPr>
                <w:rFonts w:hint="eastAsia" w:ascii="宋体" w:hAnsi="宋体"/>
                <w:color w:val="auto"/>
                <w:szCs w:val="21"/>
              </w:rPr>
              <w:t>第二十七条</w:t>
            </w:r>
            <w:r>
              <w:rPr>
                <w:rFonts w:hint="eastAsia" w:ascii="宋体" w:hAnsi="宋体"/>
                <w:color w:val="auto"/>
                <w:szCs w:val="21"/>
                <w:lang w:val="en-US" w:eastAsia="zh-CN"/>
              </w:rPr>
              <w:t xml:space="preserve">  </w:t>
            </w:r>
            <w:r>
              <w:rPr>
                <w:rFonts w:hint="eastAsia" w:ascii="宋体" w:hAnsi="宋体"/>
                <w:color w:val="auto"/>
                <w:szCs w:val="21"/>
                <w:lang w:eastAsia="zh-CN"/>
              </w:rPr>
              <w:t>……</w:t>
            </w:r>
          </w:p>
          <w:p>
            <w:pPr>
              <w:ind w:firstLine="420" w:firstLineChars="200"/>
              <w:jc w:val="both"/>
              <w:rPr>
                <w:rFonts w:hint="eastAsia" w:ascii="宋体" w:hAnsi="宋体"/>
                <w:color w:val="auto"/>
                <w:szCs w:val="21"/>
              </w:rPr>
            </w:pPr>
            <w:r>
              <w:rPr>
                <w:rFonts w:hint="eastAsia" w:ascii="宋体" w:hAnsi="宋体"/>
                <w:color w:val="auto"/>
                <w:szCs w:val="21"/>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jc w:val="both"/>
              <w:rPr>
                <w:rFonts w:hint="eastAsia" w:ascii="宋体" w:hAnsi="宋体"/>
                <w:color w:val="auto"/>
                <w:szCs w:val="21"/>
              </w:rPr>
            </w:pPr>
          </w:p>
        </w:tc>
        <w:tc>
          <w:tcPr>
            <w:tcW w:w="3918" w:type="dxa"/>
            <w:vAlign w:val="center"/>
          </w:tcPr>
          <w:p>
            <w:pPr>
              <w:jc w:val="both"/>
              <w:rPr>
                <w:rFonts w:hint="eastAsia" w:ascii="宋体" w:hAnsi="宋体"/>
                <w:color w:val="auto"/>
                <w:szCs w:val="21"/>
              </w:rPr>
            </w:pPr>
            <w:r>
              <w:rPr>
                <w:rFonts w:hint="eastAsia" w:ascii="宋体" w:hAnsi="宋体"/>
                <w:color w:val="auto"/>
                <w:szCs w:val="21"/>
              </w:rPr>
              <w:t>　　</w:t>
            </w:r>
            <w:r>
              <w:rPr>
                <w:rFonts w:hint="eastAsia" w:ascii="宋体" w:hAnsi="宋体"/>
                <w:color w:val="auto"/>
                <w:szCs w:val="21"/>
                <w:lang w:eastAsia="zh-CN"/>
              </w:rPr>
              <w:t>《中华人民共和国安全生产法》</w:t>
            </w:r>
            <w:r>
              <w:rPr>
                <w:rFonts w:hint="eastAsia" w:ascii="宋体" w:hAnsi="宋体"/>
                <w:color w:val="auto"/>
                <w:szCs w:val="21"/>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jc w:val="both"/>
              <w:rPr>
                <w:rFonts w:hint="eastAsia" w:ascii="宋体" w:hAnsi="宋体"/>
                <w:color w:val="auto"/>
                <w:szCs w:val="21"/>
              </w:rPr>
            </w:pPr>
            <w:r>
              <w:rPr>
                <w:rFonts w:hint="eastAsia" w:ascii="宋体" w:hAnsi="宋体"/>
                <w:color w:val="auto"/>
                <w:szCs w:val="21"/>
              </w:rPr>
              <w:t>　　（一）未按照规定设置安全生产管理机构或者配备安全生产管理人员、注册安全工程师的；</w:t>
            </w:r>
          </w:p>
          <w:p>
            <w:pPr>
              <w:jc w:val="both"/>
              <w:rPr>
                <w:rFonts w:hint="eastAsia" w:ascii="宋体" w:hAnsi="宋体"/>
                <w:color w:val="auto"/>
                <w:szCs w:val="21"/>
              </w:rPr>
            </w:pPr>
          </w:p>
        </w:tc>
        <w:tc>
          <w:tcPr>
            <w:tcW w:w="819" w:type="dxa"/>
            <w:vAlign w:val="center"/>
          </w:tcPr>
          <w:p>
            <w:pPr>
              <w:jc w:val="both"/>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020" w:hRule="atLeast"/>
          <w:jc w:val="center"/>
        </w:trPr>
        <w:tc>
          <w:tcPr>
            <w:tcW w:w="862" w:type="dxa"/>
            <w:vAlign w:val="center"/>
          </w:tcPr>
          <w:p>
            <w:pPr>
              <w:jc w:val="center"/>
              <w:rPr>
                <w:rFonts w:hint="eastAsia" w:ascii="宋体" w:hAnsi="宋体"/>
                <w:color w:val="auto"/>
                <w:szCs w:val="21"/>
                <w:lang w:val="en-US" w:eastAsia="zh-CN"/>
              </w:rPr>
            </w:pPr>
            <w:r>
              <w:rPr>
                <w:rFonts w:hint="eastAsia" w:ascii="宋体" w:hAnsi="宋体"/>
                <w:color w:val="auto"/>
                <w:szCs w:val="21"/>
                <w:lang w:val="en-US" w:eastAsia="zh-CN"/>
              </w:rPr>
              <w:t>26</w:t>
            </w:r>
          </w:p>
        </w:tc>
        <w:tc>
          <w:tcPr>
            <w:tcW w:w="1777" w:type="dxa"/>
            <w:vAlign w:val="center"/>
          </w:tcPr>
          <w:p>
            <w:pPr>
              <w:jc w:val="both"/>
              <w:rPr>
                <w:rFonts w:hint="eastAsia" w:ascii="宋体" w:hAnsi="宋体" w:eastAsia="宋体"/>
                <w:color w:val="auto"/>
                <w:szCs w:val="21"/>
                <w:lang w:eastAsia="zh-CN"/>
              </w:rPr>
            </w:pPr>
            <w:r>
              <w:rPr>
                <w:rFonts w:hint="eastAsia" w:ascii="宋体" w:hAnsi="宋体"/>
                <w:color w:val="auto"/>
                <w:szCs w:val="21"/>
                <w:lang w:eastAsia="zh-CN"/>
              </w:rPr>
              <w:t>设备的维护情况</w:t>
            </w:r>
          </w:p>
        </w:tc>
        <w:tc>
          <w:tcPr>
            <w:tcW w:w="1863" w:type="dxa"/>
            <w:vAlign w:val="center"/>
          </w:tcPr>
          <w:p>
            <w:pPr>
              <w:jc w:val="both"/>
              <w:rPr>
                <w:rFonts w:hint="eastAsia" w:ascii="宋体" w:hAnsi="宋体" w:eastAsia="宋体"/>
                <w:color w:val="auto"/>
                <w:szCs w:val="21"/>
                <w:lang w:eastAsia="zh-CN"/>
              </w:rPr>
            </w:pPr>
            <w:r>
              <w:rPr>
                <w:rFonts w:hint="eastAsia" w:ascii="宋体" w:hAnsi="宋体"/>
                <w:color w:val="auto"/>
                <w:szCs w:val="21"/>
                <w:lang w:eastAsia="zh-CN"/>
              </w:rPr>
              <w:t>不得关闭、破坏直接关系生产安全的设备等</w:t>
            </w:r>
          </w:p>
        </w:tc>
        <w:tc>
          <w:tcPr>
            <w:tcW w:w="4640" w:type="dxa"/>
            <w:vAlign w:val="center"/>
          </w:tcPr>
          <w:p>
            <w:pPr>
              <w:ind w:firstLine="420" w:firstLineChars="200"/>
              <w:jc w:val="both"/>
              <w:rPr>
                <w:rFonts w:hint="eastAsia" w:ascii="宋体" w:hAnsi="宋体"/>
                <w:color w:val="auto"/>
                <w:szCs w:val="21"/>
              </w:rPr>
            </w:pPr>
            <w:r>
              <w:rPr>
                <w:rFonts w:hint="eastAsia" w:ascii="宋体" w:hAnsi="宋体"/>
                <w:color w:val="auto"/>
                <w:szCs w:val="21"/>
                <w:lang w:eastAsia="zh-CN"/>
              </w:rPr>
              <w:t>《中华人民共和国安全生产法》</w:t>
            </w:r>
            <w:r>
              <w:rPr>
                <w:rFonts w:hint="eastAsia" w:ascii="宋体" w:hAnsi="宋体"/>
                <w:color w:val="auto"/>
                <w:szCs w:val="21"/>
              </w:rPr>
              <w:t>第三十六条　</w:t>
            </w:r>
            <w:r>
              <w:rPr>
                <w:rFonts w:hint="eastAsia" w:ascii="宋体" w:hAnsi="宋体"/>
                <w:color w:val="auto"/>
                <w:szCs w:val="21"/>
                <w:lang w:eastAsia="zh-CN"/>
              </w:rPr>
              <w:t>……</w:t>
            </w:r>
          </w:p>
          <w:p>
            <w:pPr>
              <w:ind w:firstLine="420" w:firstLineChars="200"/>
              <w:jc w:val="both"/>
              <w:rPr>
                <w:rFonts w:hint="eastAsia" w:ascii="宋体" w:hAnsi="宋体"/>
                <w:color w:val="auto"/>
                <w:szCs w:val="21"/>
              </w:rPr>
            </w:pPr>
            <w:r>
              <w:rPr>
                <w:rFonts w:hint="eastAsia" w:ascii="宋体" w:hAnsi="宋体"/>
                <w:color w:val="auto"/>
                <w:szCs w:val="21"/>
              </w:rPr>
              <w:t>生产经营单位不得关闭、破坏直接关系生产安全的监控、报警、防护、救生设备、设施，或者篡改、隐瞒、销毁其相关数据、信息。</w:t>
            </w:r>
          </w:p>
          <w:p>
            <w:pPr>
              <w:jc w:val="both"/>
              <w:rPr>
                <w:rFonts w:hint="eastAsia" w:ascii="宋体" w:hAnsi="宋体"/>
                <w:color w:val="auto"/>
                <w:szCs w:val="21"/>
              </w:rPr>
            </w:pPr>
          </w:p>
        </w:tc>
        <w:tc>
          <w:tcPr>
            <w:tcW w:w="3918" w:type="dxa"/>
            <w:vAlign w:val="center"/>
          </w:tcPr>
          <w:p>
            <w:pPr>
              <w:ind w:firstLine="420" w:firstLineChars="200"/>
              <w:jc w:val="both"/>
              <w:rPr>
                <w:rFonts w:hint="eastAsia" w:ascii="宋体" w:hAnsi="宋体"/>
                <w:color w:val="auto"/>
                <w:szCs w:val="21"/>
              </w:rPr>
            </w:pPr>
            <w:r>
              <w:rPr>
                <w:rFonts w:hint="eastAsia" w:ascii="宋体" w:hAnsi="宋体"/>
                <w:color w:val="auto"/>
                <w:szCs w:val="21"/>
                <w:lang w:eastAsia="zh-CN"/>
              </w:rPr>
              <w:t>《中华人民共和国安全生产法》</w:t>
            </w:r>
            <w:r>
              <w:rPr>
                <w:rFonts w:hint="eastAsia" w:ascii="宋体" w:hAnsi="宋体"/>
                <w:color w:val="auto"/>
                <w:szCs w:val="21"/>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ind w:firstLine="420" w:firstLineChars="200"/>
              <w:jc w:val="both"/>
              <w:rPr>
                <w:rFonts w:hint="eastAsia" w:ascii="宋体" w:hAnsi="宋体"/>
                <w:color w:val="auto"/>
                <w:szCs w:val="21"/>
              </w:rPr>
            </w:pPr>
            <w:r>
              <w:rPr>
                <w:rFonts w:hint="eastAsia" w:ascii="宋体" w:hAnsi="宋体"/>
                <w:color w:val="auto"/>
                <w:szCs w:val="21"/>
              </w:rPr>
              <w:t>（四）关闭、破坏直接关系生产安全的监控、报警、防护、救生设备、设施，或者篡改、隐瞒、销毁其相关数据、信息的；</w:t>
            </w:r>
          </w:p>
        </w:tc>
        <w:tc>
          <w:tcPr>
            <w:tcW w:w="819" w:type="dxa"/>
            <w:vAlign w:val="center"/>
          </w:tcPr>
          <w:p>
            <w:pPr>
              <w:jc w:val="both"/>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020" w:hRule="atLeast"/>
          <w:jc w:val="center"/>
        </w:trPr>
        <w:tc>
          <w:tcPr>
            <w:tcW w:w="862" w:type="dxa"/>
            <w:vAlign w:val="center"/>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27</w:t>
            </w:r>
          </w:p>
        </w:tc>
        <w:tc>
          <w:tcPr>
            <w:tcW w:w="1777" w:type="dxa"/>
            <w:vAlign w:val="center"/>
          </w:tcPr>
          <w:p>
            <w:pPr>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可燃气体报警装置</w:t>
            </w:r>
            <w:r>
              <w:rPr>
                <w:rFonts w:hint="eastAsia" w:asciiTheme="minorEastAsia" w:hAnsiTheme="minorEastAsia" w:eastAsiaTheme="minorEastAsia" w:cstheme="minorEastAsia"/>
                <w:color w:val="auto"/>
                <w:sz w:val="21"/>
                <w:szCs w:val="21"/>
                <w:lang w:eastAsia="zh-CN"/>
              </w:rPr>
              <w:t>情况</w:t>
            </w:r>
          </w:p>
        </w:tc>
        <w:tc>
          <w:tcPr>
            <w:tcW w:w="1863" w:type="dxa"/>
            <w:vAlign w:val="center"/>
          </w:tcPr>
          <w:p>
            <w:pPr>
              <w:widowControl w:val="0"/>
              <w:numPr>
                <w:ilvl w:val="0"/>
                <w:numId w:val="0"/>
              </w:numPr>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使用燃气的生产经营单位可燃气体报警装置</w:t>
            </w:r>
          </w:p>
          <w:p>
            <w:pPr>
              <w:jc w:val="both"/>
              <w:rPr>
                <w:rFonts w:hint="eastAsia" w:asciiTheme="minorEastAsia" w:hAnsiTheme="minorEastAsia" w:eastAsiaTheme="minorEastAsia" w:cstheme="minorEastAsia"/>
                <w:color w:val="auto"/>
                <w:sz w:val="21"/>
                <w:szCs w:val="21"/>
              </w:rPr>
            </w:pPr>
          </w:p>
        </w:tc>
        <w:tc>
          <w:tcPr>
            <w:tcW w:w="4640" w:type="dxa"/>
            <w:vAlign w:val="center"/>
          </w:tcPr>
          <w:p>
            <w:pPr>
              <w:jc w:val="both"/>
              <w:rPr>
                <w:rFonts w:hint="eastAsia" w:asciiTheme="minorEastAsia" w:hAnsiTheme="minorEastAsia" w:eastAsiaTheme="minorEastAsia" w:cstheme="minorEastAsia"/>
                <w:color w:val="auto"/>
                <w:sz w:val="21"/>
                <w:szCs w:val="21"/>
              </w:rPr>
            </w:pPr>
          </w:p>
          <w:p>
            <w:pPr>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《中华人民共和国安全生产法》第三十六条</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餐饮等行业的生产经营单位使用燃气的，应当安装可燃气体报警装置，并保障其正常使用。</w:t>
            </w:r>
          </w:p>
          <w:p>
            <w:pPr>
              <w:jc w:val="both"/>
              <w:rPr>
                <w:rFonts w:hint="eastAsia" w:asciiTheme="minorEastAsia" w:hAnsiTheme="minorEastAsia" w:eastAsiaTheme="minorEastAsia" w:cstheme="minorEastAsia"/>
                <w:color w:val="auto"/>
                <w:sz w:val="21"/>
                <w:szCs w:val="21"/>
              </w:rPr>
            </w:pPr>
          </w:p>
        </w:tc>
        <w:tc>
          <w:tcPr>
            <w:tcW w:w="3918" w:type="dxa"/>
            <w:vAlign w:val="center"/>
          </w:tcPr>
          <w:p>
            <w:pPr>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《中华人民共和国安全生产法》</w:t>
            </w:r>
            <w:r>
              <w:rPr>
                <w:rFonts w:hint="eastAsia" w:asciiTheme="minorEastAsia" w:hAnsiTheme="minorEastAsia" w:eastAsiaTheme="minorEastAsia" w:cstheme="minorEastAsia"/>
                <w:color w:val="auto"/>
                <w:sz w:val="21"/>
                <w:szCs w:val="21"/>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（八）餐饮等行业的生产经营单位使用燃气未安装可燃气体报警装置的。 </w:t>
            </w:r>
          </w:p>
          <w:p>
            <w:pPr>
              <w:jc w:val="both"/>
              <w:rPr>
                <w:rFonts w:hint="eastAsia" w:asciiTheme="minorEastAsia" w:hAnsiTheme="minorEastAsia" w:eastAsiaTheme="minorEastAsia" w:cstheme="minorEastAsia"/>
                <w:color w:val="auto"/>
                <w:sz w:val="21"/>
                <w:szCs w:val="21"/>
              </w:rPr>
            </w:pPr>
          </w:p>
        </w:tc>
        <w:tc>
          <w:tcPr>
            <w:tcW w:w="819" w:type="dxa"/>
            <w:vAlign w:val="center"/>
          </w:tcPr>
          <w:p>
            <w:pPr>
              <w:jc w:val="both"/>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020" w:hRule="atLeast"/>
          <w:jc w:val="center"/>
        </w:trPr>
        <w:tc>
          <w:tcPr>
            <w:tcW w:w="862" w:type="dxa"/>
            <w:vAlign w:val="center"/>
          </w:tcPr>
          <w:p>
            <w:pPr>
              <w:jc w:val="center"/>
              <w:rPr>
                <w:rFonts w:hint="eastAsia" w:ascii="宋体" w:hAnsi="宋体"/>
                <w:color w:val="auto"/>
                <w:szCs w:val="21"/>
                <w:lang w:val="en-US" w:eastAsia="zh-CN"/>
              </w:rPr>
            </w:pPr>
            <w:r>
              <w:rPr>
                <w:rFonts w:hint="eastAsia" w:ascii="宋体" w:hAnsi="宋体"/>
                <w:color w:val="auto"/>
                <w:szCs w:val="21"/>
                <w:lang w:val="en-US" w:eastAsia="zh-CN"/>
              </w:rPr>
              <w:t>28</w:t>
            </w:r>
          </w:p>
        </w:tc>
        <w:tc>
          <w:tcPr>
            <w:tcW w:w="1777" w:type="dxa"/>
            <w:vAlign w:val="center"/>
          </w:tcPr>
          <w:p>
            <w:pPr>
              <w:jc w:val="both"/>
              <w:rPr>
                <w:rFonts w:hint="eastAsia" w:ascii="宋体" w:hAnsi="宋体"/>
                <w:color w:val="auto"/>
                <w:szCs w:val="21"/>
              </w:rPr>
            </w:pPr>
            <w:r>
              <w:rPr>
                <w:rFonts w:hint="eastAsia" w:ascii="宋体" w:hAnsi="宋体"/>
                <w:color w:val="auto"/>
                <w:szCs w:val="21"/>
              </w:rPr>
              <w:t>建立安全风险分级管控制度</w:t>
            </w:r>
            <w:r>
              <w:rPr>
                <w:rFonts w:hint="eastAsia" w:ascii="宋体" w:hAnsi="宋体"/>
                <w:color w:val="auto"/>
                <w:szCs w:val="21"/>
                <w:lang w:eastAsia="zh-CN"/>
              </w:rPr>
              <w:t>情况</w:t>
            </w:r>
          </w:p>
        </w:tc>
        <w:tc>
          <w:tcPr>
            <w:tcW w:w="1863" w:type="dxa"/>
            <w:vAlign w:val="center"/>
          </w:tcPr>
          <w:p>
            <w:pPr>
              <w:jc w:val="both"/>
              <w:rPr>
                <w:rFonts w:hint="eastAsia" w:ascii="宋体" w:hAnsi="宋体"/>
                <w:color w:val="auto"/>
                <w:szCs w:val="21"/>
              </w:rPr>
            </w:pPr>
            <w:r>
              <w:rPr>
                <w:rFonts w:hint="eastAsia" w:ascii="宋体" w:hAnsi="宋体"/>
                <w:color w:val="auto"/>
                <w:szCs w:val="21"/>
              </w:rPr>
              <w:t>建立安全风险分级管控制度</w:t>
            </w:r>
            <w:r>
              <w:rPr>
                <w:rFonts w:hint="eastAsia" w:ascii="宋体" w:hAnsi="宋体"/>
                <w:color w:val="auto"/>
                <w:szCs w:val="21"/>
                <w:lang w:eastAsia="zh-CN"/>
              </w:rPr>
              <w:t>，采取管控措施</w:t>
            </w:r>
          </w:p>
        </w:tc>
        <w:tc>
          <w:tcPr>
            <w:tcW w:w="4640" w:type="dxa"/>
            <w:vAlign w:val="center"/>
          </w:tcPr>
          <w:p>
            <w:pPr>
              <w:ind w:firstLine="420" w:firstLineChars="200"/>
              <w:jc w:val="both"/>
              <w:rPr>
                <w:rFonts w:hint="eastAsia" w:ascii="宋体" w:hAnsi="宋体"/>
                <w:color w:val="auto"/>
                <w:szCs w:val="21"/>
              </w:rPr>
            </w:pPr>
            <w:r>
              <w:rPr>
                <w:rFonts w:hint="eastAsia" w:ascii="宋体" w:hAnsi="宋体"/>
                <w:color w:val="auto"/>
                <w:szCs w:val="21"/>
                <w:lang w:eastAsia="zh-CN"/>
              </w:rPr>
              <w:t>《中华人民共和国安全生产法》</w:t>
            </w:r>
            <w:r>
              <w:rPr>
                <w:rFonts w:hint="eastAsia" w:ascii="宋体" w:hAnsi="宋体"/>
                <w:color w:val="auto"/>
                <w:szCs w:val="21"/>
              </w:rPr>
              <w:t>第四十一条　生产经营单位应当建立安全风险分级管控制度，按照安全风险分级采取相应的管控措施。</w:t>
            </w:r>
          </w:p>
          <w:p>
            <w:pPr>
              <w:jc w:val="both"/>
              <w:rPr>
                <w:rFonts w:hint="eastAsia" w:ascii="宋体" w:hAnsi="宋体"/>
                <w:color w:val="auto"/>
                <w:szCs w:val="21"/>
              </w:rPr>
            </w:pPr>
          </w:p>
        </w:tc>
        <w:tc>
          <w:tcPr>
            <w:tcW w:w="3918" w:type="dxa"/>
            <w:vAlign w:val="center"/>
          </w:tcPr>
          <w:p>
            <w:pPr>
              <w:ind w:firstLine="420" w:firstLineChars="200"/>
              <w:jc w:val="both"/>
              <w:rPr>
                <w:rFonts w:hint="eastAsia" w:ascii="宋体" w:hAnsi="宋体"/>
                <w:color w:val="auto"/>
                <w:szCs w:val="21"/>
              </w:rPr>
            </w:pPr>
            <w:r>
              <w:rPr>
                <w:rFonts w:hint="eastAsia" w:ascii="宋体" w:hAnsi="宋体"/>
                <w:color w:val="auto"/>
                <w:szCs w:val="21"/>
                <w:lang w:eastAsia="zh-CN"/>
              </w:rPr>
              <w:t>《中华人民共和国安全生产法》</w:t>
            </w:r>
            <w:r>
              <w:rPr>
                <w:rFonts w:hint="eastAsia" w:ascii="宋体" w:hAnsi="宋体"/>
                <w:color w:val="auto"/>
                <w:szCs w:val="21"/>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ind w:firstLine="420" w:firstLineChars="200"/>
              <w:jc w:val="both"/>
              <w:rPr>
                <w:rFonts w:hint="eastAsia" w:ascii="宋体" w:hAnsi="宋体"/>
                <w:color w:val="auto"/>
                <w:szCs w:val="21"/>
              </w:rPr>
            </w:pPr>
            <w:r>
              <w:rPr>
                <w:rFonts w:hint="eastAsia" w:ascii="宋体" w:hAnsi="宋体"/>
                <w:color w:val="auto"/>
                <w:szCs w:val="21"/>
              </w:rPr>
              <w:t>（四）未建立安全风险分级管控制度或者未按照安全风险分级采取相应管控措施的；</w:t>
            </w:r>
          </w:p>
        </w:tc>
        <w:tc>
          <w:tcPr>
            <w:tcW w:w="819" w:type="dxa"/>
            <w:vAlign w:val="center"/>
          </w:tcPr>
          <w:p>
            <w:pPr>
              <w:jc w:val="both"/>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020" w:hRule="atLeast"/>
          <w:jc w:val="center"/>
        </w:trPr>
        <w:tc>
          <w:tcPr>
            <w:tcW w:w="862" w:type="dxa"/>
            <w:vAlign w:val="center"/>
          </w:tcPr>
          <w:p>
            <w:pPr>
              <w:jc w:val="center"/>
              <w:rPr>
                <w:rFonts w:hint="eastAsia" w:ascii="宋体" w:hAnsi="宋体"/>
                <w:color w:val="auto"/>
                <w:szCs w:val="21"/>
                <w:lang w:val="en-US" w:eastAsia="zh-CN"/>
              </w:rPr>
            </w:pPr>
            <w:r>
              <w:rPr>
                <w:rFonts w:hint="eastAsia" w:ascii="宋体" w:hAnsi="宋体"/>
                <w:color w:val="auto"/>
                <w:szCs w:val="21"/>
                <w:lang w:val="en-US" w:eastAsia="zh-CN"/>
              </w:rPr>
              <w:t>29</w:t>
            </w:r>
          </w:p>
        </w:tc>
        <w:tc>
          <w:tcPr>
            <w:tcW w:w="1777" w:type="dxa"/>
            <w:vAlign w:val="center"/>
          </w:tcPr>
          <w:p>
            <w:pPr>
              <w:jc w:val="both"/>
              <w:rPr>
                <w:rFonts w:hint="eastAsia" w:ascii="宋体" w:hAnsi="宋体" w:eastAsia="宋体"/>
                <w:color w:val="auto"/>
                <w:szCs w:val="21"/>
                <w:lang w:eastAsia="zh-CN"/>
              </w:rPr>
            </w:pPr>
            <w:r>
              <w:rPr>
                <w:rFonts w:hint="eastAsia" w:ascii="宋体" w:hAnsi="宋体"/>
                <w:color w:val="auto"/>
                <w:szCs w:val="21"/>
                <w:lang w:eastAsia="zh-CN"/>
              </w:rPr>
              <w:t>高危行业施工单位对施工项目的安全管理情况</w:t>
            </w:r>
          </w:p>
        </w:tc>
        <w:tc>
          <w:tcPr>
            <w:tcW w:w="1863" w:type="dxa"/>
            <w:vAlign w:val="center"/>
          </w:tcPr>
          <w:p>
            <w:pPr>
              <w:jc w:val="both"/>
              <w:rPr>
                <w:rFonts w:hint="eastAsia" w:ascii="宋体" w:hAnsi="宋体"/>
                <w:color w:val="auto"/>
                <w:szCs w:val="21"/>
              </w:rPr>
            </w:pPr>
            <w:r>
              <w:rPr>
                <w:rFonts w:hint="eastAsia" w:ascii="宋体" w:hAnsi="宋体"/>
                <w:color w:val="auto"/>
                <w:szCs w:val="21"/>
              </w:rPr>
              <w:t>施工单位应当加强对施工项目的安全管理</w:t>
            </w:r>
          </w:p>
        </w:tc>
        <w:tc>
          <w:tcPr>
            <w:tcW w:w="4640" w:type="dxa"/>
            <w:vAlign w:val="center"/>
          </w:tcPr>
          <w:p>
            <w:pPr>
              <w:jc w:val="both"/>
              <w:rPr>
                <w:rFonts w:hint="eastAsia" w:ascii="宋体" w:hAnsi="宋体"/>
                <w:color w:val="auto"/>
                <w:szCs w:val="21"/>
              </w:rPr>
            </w:pPr>
            <w:r>
              <w:rPr>
                <w:rFonts w:hint="eastAsia" w:ascii="宋体" w:hAnsi="宋体"/>
                <w:color w:val="auto"/>
                <w:szCs w:val="21"/>
              </w:rPr>
              <w:t>　</w:t>
            </w:r>
            <w:r>
              <w:rPr>
                <w:rFonts w:hint="eastAsia" w:ascii="宋体" w:hAnsi="宋体"/>
                <w:color w:val="auto"/>
                <w:szCs w:val="21"/>
                <w:lang w:val="en-US" w:eastAsia="zh-CN"/>
              </w:rPr>
              <w:t xml:space="preserve"> </w:t>
            </w:r>
            <w:r>
              <w:rPr>
                <w:rFonts w:hint="eastAsia" w:ascii="宋体" w:hAnsi="宋体"/>
                <w:color w:val="auto"/>
                <w:szCs w:val="21"/>
                <w:lang w:eastAsia="zh-CN"/>
              </w:rPr>
              <w:t>《中华人民共和国安全生产法》</w:t>
            </w:r>
            <w:r>
              <w:rPr>
                <w:rFonts w:hint="eastAsia" w:ascii="宋体" w:hAnsi="宋体"/>
                <w:color w:val="auto"/>
                <w:szCs w:val="21"/>
              </w:rPr>
              <w:t>第四十九条</w:t>
            </w:r>
            <w:r>
              <w:rPr>
                <w:rFonts w:hint="eastAsia" w:ascii="宋体" w:hAnsi="宋体"/>
                <w:color w:val="auto"/>
                <w:szCs w:val="21"/>
                <w:lang w:val="en-US" w:eastAsia="zh-CN"/>
              </w:rPr>
              <w:t xml:space="preserve">  ……</w:t>
            </w:r>
          </w:p>
          <w:p>
            <w:pPr>
              <w:ind w:firstLine="420" w:firstLineChars="200"/>
              <w:jc w:val="both"/>
              <w:rPr>
                <w:rFonts w:hint="eastAsia" w:ascii="宋体" w:hAnsi="宋体"/>
                <w:color w:val="auto"/>
                <w:szCs w:val="21"/>
              </w:rPr>
            </w:pPr>
            <w:r>
              <w:rPr>
                <w:rFonts w:hint="eastAsia" w:ascii="宋体" w:hAnsi="宋体"/>
                <w:color w:val="auto"/>
                <w:szCs w:val="21"/>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jc w:val="both"/>
              <w:rPr>
                <w:rFonts w:hint="eastAsia" w:ascii="宋体" w:hAnsi="宋体"/>
                <w:color w:val="auto"/>
                <w:szCs w:val="21"/>
              </w:rPr>
            </w:pPr>
          </w:p>
        </w:tc>
        <w:tc>
          <w:tcPr>
            <w:tcW w:w="3918" w:type="dxa"/>
            <w:vAlign w:val="center"/>
          </w:tcPr>
          <w:p>
            <w:pPr>
              <w:ind w:firstLine="420" w:firstLineChars="200"/>
              <w:jc w:val="both"/>
              <w:rPr>
                <w:rFonts w:hint="eastAsia" w:ascii="宋体" w:hAnsi="宋体"/>
                <w:color w:val="auto"/>
                <w:szCs w:val="21"/>
                <w:lang w:val="en-US" w:eastAsia="zh-CN"/>
              </w:rPr>
            </w:pPr>
            <w:r>
              <w:rPr>
                <w:rFonts w:hint="eastAsia" w:ascii="宋体" w:hAnsi="宋体"/>
                <w:color w:val="auto"/>
                <w:szCs w:val="21"/>
                <w:lang w:eastAsia="zh-CN"/>
              </w:rPr>
              <w:t>《中华人民共和国安全生产法》第一百零三条</w:t>
            </w:r>
            <w:r>
              <w:rPr>
                <w:rFonts w:hint="eastAsia" w:ascii="宋体" w:hAnsi="宋体"/>
                <w:color w:val="auto"/>
                <w:szCs w:val="21"/>
                <w:lang w:val="en-US" w:eastAsia="zh-CN"/>
              </w:rPr>
              <w:t xml:space="preserve"> ……</w:t>
            </w:r>
          </w:p>
          <w:p>
            <w:pPr>
              <w:ind w:firstLine="420" w:firstLineChars="200"/>
              <w:jc w:val="both"/>
              <w:rPr>
                <w:rFonts w:hint="eastAsia" w:ascii="宋体" w:hAnsi="宋体"/>
                <w:color w:val="auto"/>
                <w:szCs w:val="21"/>
              </w:rPr>
            </w:pPr>
            <w:r>
              <w:rPr>
                <w:rFonts w:hint="eastAsia" w:ascii="宋体" w:hAnsi="宋体"/>
                <w:color w:val="auto"/>
                <w:szCs w:val="21"/>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jc w:val="both"/>
              <w:rPr>
                <w:rFonts w:hint="eastAsia" w:ascii="宋体" w:hAnsi="宋体"/>
                <w:color w:val="auto"/>
                <w:szCs w:val="21"/>
              </w:rPr>
            </w:pPr>
          </w:p>
        </w:tc>
        <w:tc>
          <w:tcPr>
            <w:tcW w:w="819" w:type="dxa"/>
            <w:vAlign w:val="center"/>
          </w:tcPr>
          <w:p>
            <w:pPr>
              <w:jc w:val="both"/>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020" w:hRule="atLeast"/>
          <w:jc w:val="center"/>
        </w:trPr>
        <w:tc>
          <w:tcPr>
            <w:tcW w:w="862" w:type="dxa"/>
            <w:vAlign w:val="center"/>
          </w:tcPr>
          <w:p>
            <w:pPr>
              <w:jc w:val="center"/>
              <w:rPr>
                <w:rFonts w:hint="eastAsia" w:ascii="宋体" w:hAnsi="宋体"/>
                <w:color w:val="auto"/>
                <w:szCs w:val="21"/>
                <w:lang w:val="en-US" w:eastAsia="zh-CN"/>
              </w:rPr>
            </w:pPr>
            <w:r>
              <w:rPr>
                <w:rFonts w:hint="eastAsia" w:ascii="宋体" w:hAnsi="宋体"/>
                <w:color w:val="auto"/>
                <w:szCs w:val="21"/>
                <w:lang w:val="en-US" w:eastAsia="zh-CN"/>
              </w:rPr>
              <w:t>30</w:t>
            </w:r>
          </w:p>
        </w:tc>
        <w:tc>
          <w:tcPr>
            <w:tcW w:w="1777" w:type="dxa"/>
            <w:vAlign w:val="center"/>
          </w:tcPr>
          <w:p>
            <w:pPr>
              <w:jc w:val="both"/>
              <w:rPr>
                <w:rFonts w:hint="eastAsia" w:ascii="宋体" w:hAnsi="宋体" w:eastAsia="宋体"/>
                <w:color w:val="auto"/>
                <w:szCs w:val="21"/>
                <w:lang w:eastAsia="zh-CN"/>
              </w:rPr>
            </w:pPr>
            <w:r>
              <w:rPr>
                <w:rFonts w:hint="eastAsia" w:ascii="宋体" w:hAnsi="宋体"/>
                <w:color w:val="auto"/>
                <w:szCs w:val="21"/>
                <w:lang w:eastAsia="zh-CN"/>
              </w:rPr>
              <w:t>高危行业投保安全生产责任保险情况</w:t>
            </w:r>
          </w:p>
        </w:tc>
        <w:tc>
          <w:tcPr>
            <w:tcW w:w="1863" w:type="dxa"/>
            <w:vAlign w:val="center"/>
          </w:tcPr>
          <w:p>
            <w:pPr>
              <w:jc w:val="both"/>
              <w:rPr>
                <w:rFonts w:hint="eastAsia" w:ascii="宋体" w:hAnsi="宋体"/>
                <w:color w:val="auto"/>
                <w:szCs w:val="21"/>
              </w:rPr>
            </w:pPr>
            <w:r>
              <w:rPr>
                <w:rFonts w:hint="eastAsia" w:ascii="宋体" w:hAnsi="宋体"/>
                <w:color w:val="auto"/>
                <w:szCs w:val="21"/>
              </w:rPr>
              <w:t>高危行业、领域的生产经营单位应当投保安全生产责任保险</w:t>
            </w:r>
          </w:p>
        </w:tc>
        <w:tc>
          <w:tcPr>
            <w:tcW w:w="4640" w:type="dxa"/>
            <w:vAlign w:val="center"/>
          </w:tcPr>
          <w:p>
            <w:pPr>
              <w:ind w:firstLine="420" w:firstLineChars="200"/>
              <w:jc w:val="both"/>
              <w:rPr>
                <w:rFonts w:hint="eastAsia" w:ascii="宋体" w:hAnsi="宋体"/>
                <w:color w:val="auto"/>
                <w:szCs w:val="21"/>
              </w:rPr>
            </w:pPr>
            <w:r>
              <w:rPr>
                <w:rFonts w:hint="eastAsia" w:ascii="宋体" w:hAnsi="宋体"/>
                <w:color w:val="auto"/>
                <w:szCs w:val="21"/>
                <w:lang w:eastAsia="zh-CN"/>
              </w:rPr>
              <w:t>《中华人民共和国安全生产法》</w:t>
            </w:r>
            <w:r>
              <w:rPr>
                <w:rFonts w:hint="eastAsia" w:ascii="宋体" w:hAnsi="宋体"/>
                <w:color w:val="auto"/>
                <w:szCs w:val="21"/>
              </w:rPr>
              <w:t>第五十一条</w:t>
            </w:r>
            <w:r>
              <w:rPr>
                <w:rFonts w:hint="eastAsia" w:ascii="宋体" w:hAnsi="宋体"/>
                <w:color w:val="auto"/>
                <w:szCs w:val="21"/>
                <w:lang w:val="en-US" w:eastAsia="zh-CN"/>
              </w:rPr>
              <w:t xml:space="preserve"> </w:t>
            </w:r>
            <w:r>
              <w:rPr>
                <w:rFonts w:hint="eastAsia" w:ascii="宋体" w:hAnsi="宋体"/>
                <w:color w:val="auto"/>
                <w:szCs w:val="21"/>
                <w:lang w:eastAsia="zh-CN"/>
              </w:rPr>
              <w:t>……</w:t>
            </w:r>
          </w:p>
          <w:p>
            <w:pPr>
              <w:jc w:val="both"/>
              <w:rPr>
                <w:rFonts w:hint="eastAsia" w:ascii="宋体" w:hAnsi="宋体"/>
                <w:color w:val="auto"/>
                <w:szCs w:val="21"/>
              </w:rPr>
            </w:pPr>
            <w:r>
              <w:rPr>
                <w:rFonts w:hint="eastAsia" w:ascii="宋体" w:hAnsi="宋体"/>
                <w:color w:val="auto"/>
                <w:szCs w:val="21"/>
              </w:rPr>
              <w:t>　　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jc w:val="both"/>
              <w:rPr>
                <w:rFonts w:hint="eastAsia" w:ascii="宋体" w:hAnsi="宋体"/>
                <w:color w:val="auto"/>
                <w:szCs w:val="21"/>
              </w:rPr>
            </w:pPr>
          </w:p>
        </w:tc>
        <w:tc>
          <w:tcPr>
            <w:tcW w:w="3918" w:type="dxa"/>
            <w:vAlign w:val="center"/>
          </w:tcPr>
          <w:p>
            <w:pPr>
              <w:ind w:firstLine="420" w:firstLineChars="200"/>
              <w:jc w:val="both"/>
              <w:rPr>
                <w:rFonts w:hint="eastAsia" w:ascii="宋体" w:hAnsi="宋体"/>
                <w:color w:val="auto"/>
                <w:szCs w:val="21"/>
              </w:rPr>
            </w:pPr>
            <w:r>
              <w:rPr>
                <w:rFonts w:hint="eastAsia" w:ascii="宋体" w:hAnsi="宋体"/>
                <w:color w:val="auto"/>
                <w:szCs w:val="21"/>
                <w:lang w:eastAsia="zh-CN"/>
              </w:rPr>
              <w:t>《中华人民共和国安全生产法》</w:t>
            </w:r>
            <w:r>
              <w:rPr>
                <w:rFonts w:hint="eastAsia" w:ascii="宋体" w:hAnsi="宋体"/>
                <w:color w:val="auto"/>
                <w:szCs w:val="21"/>
              </w:rPr>
              <w:t>第一百零九条  高危行业、领域的生产经营单位未按照国家规定投保安全生产责任保险的，责令限期改正，处五万元以上十万元以下的罚款；逾期未改正的，处十万元以上二十万元以下的罚款。</w:t>
            </w:r>
          </w:p>
          <w:p>
            <w:pPr>
              <w:jc w:val="both"/>
              <w:rPr>
                <w:rFonts w:hint="eastAsia" w:ascii="宋体" w:hAnsi="宋体"/>
                <w:color w:val="auto"/>
                <w:szCs w:val="21"/>
              </w:rPr>
            </w:pPr>
          </w:p>
        </w:tc>
        <w:tc>
          <w:tcPr>
            <w:tcW w:w="819" w:type="dxa"/>
            <w:vAlign w:val="center"/>
          </w:tcPr>
          <w:p>
            <w:pPr>
              <w:jc w:val="both"/>
              <w:rPr>
                <w:rFonts w:hint="eastAsia" w:ascii="宋体" w:hAnsi="宋体"/>
                <w:color w:val="auto"/>
                <w:szCs w:val="21"/>
              </w:rPr>
            </w:pPr>
          </w:p>
        </w:tc>
      </w:tr>
    </w:tbl>
    <w:p/>
    <w:sectPr>
      <w:footerReference r:id="rId3" w:type="default"/>
      <w:pgSz w:w="16838" w:h="11906" w:orient="landscape"/>
      <w:pgMar w:top="1349" w:right="1440" w:bottom="612"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92B3A5"/>
    <w:multiLevelType w:val="singleLevel"/>
    <w:tmpl w:val="AA92B3A5"/>
    <w:lvl w:ilvl="0" w:tentative="0">
      <w:start w:val="2"/>
      <w:numFmt w:val="chineseCounting"/>
      <w:suff w:val="nothing"/>
      <w:lvlText w:val="（%1）"/>
      <w:lvlJc w:val="left"/>
      <w:rPr>
        <w:rFonts w:hint="eastAsia"/>
      </w:rPr>
    </w:lvl>
  </w:abstractNum>
  <w:abstractNum w:abstractNumId="1">
    <w:nsid w:val="64489E23"/>
    <w:multiLevelType w:val="singleLevel"/>
    <w:tmpl w:val="64489E23"/>
    <w:lvl w:ilvl="0" w:tentative="0">
      <w:start w:val="1"/>
      <w:numFmt w:val="chineseCounting"/>
      <w:suff w:val="nothing"/>
      <w:lvlText w:val="（%1）"/>
      <w:lvlJc w:val="left"/>
    </w:lvl>
  </w:abstractNum>
  <w:abstractNum w:abstractNumId="2">
    <w:nsid w:val="6448A797"/>
    <w:multiLevelType w:val="singleLevel"/>
    <w:tmpl w:val="6448A797"/>
    <w:lvl w:ilvl="0" w:tentative="0">
      <w:start w:val="1"/>
      <w:numFmt w:val="chineseCounting"/>
      <w:suff w:val="nothing"/>
      <w:lvlText w:val="（%1）"/>
      <w:lvlJc w:val="left"/>
    </w:lvl>
  </w:abstractNum>
  <w:abstractNum w:abstractNumId="3">
    <w:nsid w:val="6448B320"/>
    <w:multiLevelType w:val="singleLevel"/>
    <w:tmpl w:val="6448B320"/>
    <w:lvl w:ilvl="0" w:tentative="0">
      <w:start w:val="1"/>
      <w:numFmt w:val="chineseCounting"/>
      <w:suff w:val="nothing"/>
      <w:lvlText w:val="（%1）"/>
      <w:lvlJc w:val="left"/>
    </w:lvl>
  </w:abstractNum>
  <w:abstractNum w:abstractNumId="4">
    <w:nsid w:val="6448B44D"/>
    <w:multiLevelType w:val="singleLevel"/>
    <w:tmpl w:val="6448B44D"/>
    <w:lvl w:ilvl="0" w:tentative="0">
      <w:start w:val="5"/>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4F136DA7"/>
    <w:rsid w:val="09FE6D72"/>
    <w:rsid w:val="280015E2"/>
    <w:rsid w:val="31413B18"/>
    <w:rsid w:val="387C0543"/>
    <w:rsid w:val="391C6AF7"/>
    <w:rsid w:val="3B9643C5"/>
    <w:rsid w:val="48024AFB"/>
    <w:rsid w:val="4F136DA7"/>
    <w:rsid w:val="51BA00E3"/>
    <w:rsid w:val="565229F6"/>
    <w:rsid w:val="60C66381"/>
    <w:rsid w:val="7D311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4">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2023-05-17T03:29:00Z</dcterms:created>
  <dc:creator>仙贝</dc:creator>
  <cp:lastModifiedBy>仙贝</cp:lastModifiedBy>
  <cp:lastPrinted>2023-05-26T11:10:00Z</cp:lastPrinted>
  <dcterms:modified xsi:type="dcterms:W3CDTF">2023-05-31T11:13:16Z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B39C7E770BCB4A068A1772DEAA9D576E</vt:lpwstr>
  </property>
</Properties>
</file>