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1D479C">
      <w:pPr>
        <w:spacing w:line="540" w:lineRule="exact"/>
        <w:jc w:val="center"/>
        <w:rPr>
          <w:rFonts w:hint="default" w:ascii="Times New Roman" w:hAnsi="Times New Roman" w:eastAsia="华文中宋" w:cs="Times New Roman"/>
          <w:b/>
          <w:kern w:val="0"/>
          <w:sz w:val="52"/>
          <w:szCs w:val="52"/>
        </w:rPr>
      </w:pPr>
    </w:p>
    <w:p w14:paraId="7CF53B10">
      <w:pPr>
        <w:spacing w:line="540" w:lineRule="exact"/>
        <w:rPr>
          <w:rFonts w:hint="default" w:ascii="Times New Roman" w:hAnsi="Times New Roman" w:eastAsia="华文中宋" w:cs="Times New Roman"/>
          <w:b/>
          <w:kern w:val="0"/>
          <w:sz w:val="52"/>
          <w:szCs w:val="52"/>
        </w:rPr>
      </w:pPr>
    </w:p>
    <w:p w14:paraId="7465461C">
      <w:pPr>
        <w:spacing w:line="540" w:lineRule="exact"/>
        <w:jc w:val="center"/>
        <w:rPr>
          <w:rFonts w:hint="default" w:ascii="Times New Roman" w:hAnsi="Times New Roman" w:eastAsia="华文中宋" w:cs="Times New Roman"/>
          <w:b/>
          <w:kern w:val="0"/>
          <w:sz w:val="52"/>
          <w:szCs w:val="52"/>
        </w:rPr>
      </w:pPr>
    </w:p>
    <w:p w14:paraId="47204D13">
      <w:pPr>
        <w:spacing w:line="540" w:lineRule="exact"/>
        <w:jc w:val="center"/>
        <w:rPr>
          <w:rFonts w:hint="default" w:ascii="Times New Roman" w:hAnsi="Times New Roman" w:eastAsia="华文中宋" w:cs="Times New Roman"/>
          <w:b/>
          <w:kern w:val="0"/>
          <w:sz w:val="52"/>
          <w:szCs w:val="52"/>
        </w:rPr>
      </w:pPr>
    </w:p>
    <w:p w14:paraId="5E11D5A7">
      <w:pPr>
        <w:spacing w:line="540" w:lineRule="exact"/>
        <w:jc w:val="center"/>
        <w:rPr>
          <w:rFonts w:hint="default" w:ascii="Times New Roman" w:hAnsi="Times New Roman" w:eastAsia="方正小标宋_GBK" w:cs="Times New Roman"/>
          <w:kern w:val="0"/>
          <w:sz w:val="48"/>
          <w:szCs w:val="48"/>
        </w:rPr>
      </w:pPr>
      <w:r>
        <w:rPr>
          <w:rFonts w:hint="default" w:ascii="Times New Roman" w:hAnsi="Times New Roman" w:eastAsia="方正小标宋_GBK" w:cs="Times New Roman"/>
          <w:kern w:val="0"/>
          <w:sz w:val="48"/>
          <w:szCs w:val="48"/>
        </w:rPr>
        <w:t>2024年自治区安全生产及应急专项资金项目支出绩效评价</w:t>
      </w:r>
    </w:p>
    <w:p w14:paraId="2A66E519">
      <w:pPr>
        <w:spacing w:line="540" w:lineRule="exact"/>
        <w:jc w:val="center"/>
        <w:rPr>
          <w:rFonts w:hint="default" w:ascii="Times New Roman" w:hAnsi="Times New Roman" w:eastAsia="方正小标宋_GBK" w:cs="Times New Roman"/>
          <w:kern w:val="0"/>
          <w:sz w:val="48"/>
          <w:szCs w:val="48"/>
        </w:rPr>
      </w:pPr>
      <w:r>
        <w:rPr>
          <w:rFonts w:hint="default" w:ascii="Times New Roman" w:hAnsi="Times New Roman" w:eastAsia="方正小标宋_GBK" w:cs="Times New Roman"/>
          <w:kern w:val="0"/>
          <w:sz w:val="48"/>
          <w:szCs w:val="48"/>
        </w:rPr>
        <w:t>报告</w:t>
      </w:r>
    </w:p>
    <w:p w14:paraId="3435F33D">
      <w:pPr>
        <w:spacing w:line="540" w:lineRule="exact"/>
        <w:jc w:val="center"/>
        <w:rPr>
          <w:rFonts w:hint="default" w:ascii="Times New Roman" w:hAnsi="Times New Roman" w:eastAsia="华文中宋" w:cs="Times New Roman"/>
          <w:b/>
          <w:kern w:val="0"/>
          <w:sz w:val="52"/>
          <w:szCs w:val="52"/>
        </w:rPr>
      </w:pPr>
    </w:p>
    <w:p w14:paraId="2C28A452">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（202</w:t>
      </w:r>
      <w:r>
        <w:rPr>
          <w:rFonts w:hint="default" w:ascii="Times New Roman" w:hAnsi="Times New Roman"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年度）</w:t>
      </w:r>
    </w:p>
    <w:p w14:paraId="1BF12FF7">
      <w:pPr>
        <w:spacing w:line="540" w:lineRule="exact"/>
        <w:jc w:val="center"/>
        <w:rPr>
          <w:rFonts w:hint="default" w:ascii="Times New Roman" w:hAnsi="Times New Roman" w:eastAsia="仿宋_GB2312" w:cs="Times New Roman"/>
          <w:kern w:val="0"/>
          <w:sz w:val="30"/>
          <w:szCs w:val="30"/>
        </w:rPr>
      </w:pPr>
    </w:p>
    <w:p w14:paraId="24846776">
      <w:pPr>
        <w:spacing w:line="540" w:lineRule="exact"/>
        <w:jc w:val="center"/>
        <w:rPr>
          <w:rFonts w:hint="default" w:ascii="Times New Roman" w:hAnsi="Times New Roman" w:eastAsia="仿宋_GB2312" w:cs="Times New Roman"/>
          <w:kern w:val="0"/>
          <w:sz w:val="30"/>
          <w:szCs w:val="30"/>
        </w:rPr>
      </w:pPr>
    </w:p>
    <w:p w14:paraId="58C16714">
      <w:pPr>
        <w:spacing w:line="540" w:lineRule="exact"/>
        <w:jc w:val="center"/>
        <w:rPr>
          <w:rFonts w:hint="default" w:ascii="Times New Roman" w:hAnsi="Times New Roman" w:eastAsia="仿宋_GB2312" w:cs="Times New Roman"/>
          <w:kern w:val="0"/>
          <w:sz w:val="30"/>
          <w:szCs w:val="30"/>
        </w:rPr>
      </w:pPr>
    </w:p>
    <w:p w14:paraId="141D8E8F">
      <w:pPr>
        <w:pStyle w:val="10"/>
        <w:rPr>
          <w:rFonts w:hint="default" w:ascii="Times New Roman" w:hAnsi="Times New Roman" w:cs="Times New Roman"/>
        </w:rPr>
      </w:pPr>
    </w:p>
    <w:p w14:paraId="02360C14">
      <w:pPr>
        <w:spacing w:line="540" w:lineRule="exact"/>
        <w:jc w:val="center"/>
        <w:rPr>
          <w:rFonts w:hint="default" w:ascii="Times New Roman" w:hAnsi="Times New Roman" w:eastAsia="仿宋_GB2312" w:cs="Times New Roman"/>
          <w:kern w:val="0"/>
          <w:sz w:val="30"/>
          <w:szCs w:val="30"/>
        </w:rPr>
      </w:pPr>
    </w:p>
    <w:p w14:paraId="2634DF05">
      <w:pPr>
        <w:spacing w:line="700" w:lineRule="exact"/>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项目名称：2024年自治区安全生产及应急专项资金</w:t>
      </w:r>
    </w:p>
    <w:p w14:paraId="6CF1E51E">
      <w:pPr>
        <w:spacing w:line="700" w:lineRule="exact"/>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实施单位（公章）：新疆维吾尔自治区应急管理厅</w:t>
      </w:r>
    </w:p>
    <w:p w14:paraId="5B928C7A">
      <w:pPr>
        <w:spacing w:line="700" w:lineRule="exact"/>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主管部门（公章）：新疆维吾尔自治区应急管理厅</w:t>
      </w:r>
    </w:p>
    <w:p w14:paraId="232611FB">
      <w:pPr>
        <w:spacing w:line="700" w:lineRule="exact"/>
        <w:jc w:val="left"/>
        <w:rPr>
          <w:rFonts w:hint="default"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项目负责人（签章）：</w:t>
      </w:r>
      <w:r>
        <w:rPr>
          <w:rFonts w:hint="eastAsia" w:eastAsia="仿宋_GB2312" w:cs="Times New Roman"/>
          <w:kern w:val="0"/>
          <w:sz w:val="36"/>
          <w:szCs w:val="36"/>
          <w:lang w:val="en-US" w:eastAsia="zh-CN"/>
        </w:rPr>
        <w:t>贾林·努尔哈米提</w:t>
      </w:r>
    </w:p>
    <w:p w14:paraId="5485C1D0">
      <w:pPr>
        <w:spacing w:line="700" w:lineRule="exact"/>
        <w:jc w:val="left"/>
        <w:rPr>
          <w:rFonts w:hint="default" w:ascii="Times New Roman" w:hAnsi="Times New Roman" w:eastAsia="仿宋_GB2312" w:cs="Times New Roman"/>
          <w:kern w:val="0"/>
          <w:sz w:val="36"/>
          <w:szCs w:val="36"/>
        </w:rPr>
        <w:sectPr>
          <w:footerReference r:id="rId3" w:type="default"/>
          <w:pgSz w:w="11906" w:h="16838"/>
          <w:pgMar w:top="1440" w:right="1558" w:bottom="1440" w:left="1800" w:header="851" w:footer="992" w:gutter="0"/>
          <w:pgNumType w:start="1"/>
          <w:cols w:space="425" w:num="1"/>
          <w:docGrid w:type="lines" w:linePitch="312" w:charSpace="0"/>
        </w:sectPr>
      </w:pPr>
      <w:r>
        <w:rPr>
          <w:rFonts w:hint="default" w:ascii="Times New Roman" w:hAnsi="Times New Roman" w:eastAsia="仿宋_GB2312" w:cs="Times New Roman"/>
          <w:kern w:val="0"/>
          <w:sz w:val="36"/>
          <w:szCs w:val="36"/>
        </w:rPr>
        <w:t>填报时间：</w:t>
      </w:r>
      <w:r>
        <w:rPr>
          <w:rFonts w:hint="eastAsia" w:eastAsia="仿宋_GB2312" w:cs="Times New Roman"/>
          <w:kern w:val="0"/>
          <w:sz w:val="36"/>
          <w:szCs w:val="36"/>
          <w:lang w:val="en-US" w:eastAsia="zh-CN"/>
        </w:rPr>
        <w:t>2025</w:t>
      </w:r>
      <w:r>
        <w:rPr>
          <w:rFonts w:hint="default" w:ascii="Times New Roman" w:hAnsi="Times New Roman" w:eastAsia="仿宋_GB2312" w:cs="Times New Roman"/>
          <w:kern w:val="0"/>
          <w:sz w:val="36"/>
          <w:szCs w:val="36"/>
        </w:rPr>
        <w:t>年</w:t>
      </w:r>
      <w:r>
        <w:rPr>
          <w:rFonts w:hint="eastAsia"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月</w:t>
      </w:r>
      <w:r>
        <w:rPr>
          <w:rFonts w:hint="eastAsia" w:eastAsia="仿宋_GB2312" w:cs="Times New Roman"/>
          <w:kern w:val="0"/>
          <w:sz w:val="36"/>
          <w:szCs w:val="36"/>
          <w:lang w:val="en-US" w:eastAsia="zh-CN"/>
        </w:rPr>
        <w:t>7</w:t>
      </w:r>
      <w:r>
        <w:rPr>
          <w:rFonts w:hint="default" w:ascii="Times New Roman" w:hAnsi="Times New Roman" w:eastAsia="仿宋_GB2312" w:cs="Times New Roman"/>
          <w:kern w:val="0"/>
          <w:sz w:val="36"/>
          <w:szCs w:val="36"/>
        </w:rPr>
        <w:t>日</w:t>
      </w:r>
      <w:bookmarkStart w:id="3" w:name="_GoBack"/>
      <w:bookmarkEnd w:id="3"/>
    </w:p>
    <w:p w14:paraId="69756A28">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w:t>
      </w:r>
      <w:r>
        <w:rPr>
          <w:rFonts w:hint="eastAsia" w:eastAsia="黑体" w:cs="Times New Roman"/>
          <w:bCs/>
          <w:sz w:val="32"/>
          <w:szCs w:val="32"/>
          <w:lang w:eastAsia="zh-CN"/>
        </w:rPr>
        <w:t>、</w:t>
      </w:r>
      <w:r>
        <w:rPr>
          <w:rFonts w:hint="default" w:ascii="Times New Roman" w:hAnsi="Times New Roman" w:eastAsia="黑体" w:cs="Times New Roman"/>
          <w:bCs/>
          <w:sz w:val="32"/>
          <w:szCs w:val="32"/>
        </w:rPr>
        <w:t>基本情况</w:t>
      </w:r>
    </w:p>
    <w:p w14:paraId="1B940412">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14:paraId="5D721A80">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14:paraId="333519D5">
      <w:pPr>
        <w:spacing w:line="560" w:lineRule="exact"/>
        <w:ind w:firstLine="640" w:firstLineChars="200"/>
        <w:rPr>
          <w:rStyle w:val="16"/>
          <w:rFonts w:hint="default" w:ascii="Times New Roman" w:hAnsi="Times New Roman" w:eastAsia="黑体" w:cs="Times New Roman"/>
          <w:b w:val="0"/>
          <w:bCs/>
          <w:spacing w:val="-4"/>
          <w:sz w:val="32"/>
          <w:szCs w:val="32"/>
          <w:highlight w:val="yellow"/>
          <w:lang w:eastAsia="zh-CN"/>
        </w:rPr>
      </w:pPr>
      <w:r>
        <w:rPr>
          <w:rFonts w:hint="default" w:ascii="Times New Roman" w:hAnsi="Times New Roman" w:eastAsia="仿宋_GB2312" w:cs="Times New Roman"/>
          <w:sz w:val="32"/>
          <w:szCs w:val="32"/>
          <w:highlight w:val="none"/>
          <w:lang w:val="en-US" w:eastAsia="zh-CN"/>
        </w:rPr>
        <w:t>为贯彻落实自治区党委</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政府关于应急管理工作的决策部署，全面提升安全生产监管能力和应急响应水平，</w:t>
      </w:r>
      <w:r>
        <w:rPr>
          <w:rFonts w:hint="eastAsia" w:eastAsia="仿宋_GB2312" w:cs="Times New Roman"/>
          <w:sz w:val="32"/>
          <w:szCs w:val="32"/>
          <w:highlight w:val="none"/>
          <w:lang w:val="en-US" w:eastAsia="zh-CN"/>
        </w:rPr>
        <w:t>根据《中华人民共和国安全生产法》《中华人民共和国矿山安全法》《国务院关于印发“十四五”国家应急体系规划的通知》（国发〔2021〕36号）、国家减灾委员会关于印发《“十四五”国家综合防灾减灾规划》的通知（国减发〔2022〕1号）、《自治区综合防灾减灾“十四五”规划》（新政办发〔2021〕69号）《全国应急管理干部实战大练兵（2023-2025年）总体方案》（应急委发〔2023〕6号）等文件精神，</w:t>
      </w:r>
      <w:r>
        <w:rPr>
          <w:rFonts w:hint="default" w:ascii="Times New Roman" w:hAnsi="Times New Roman" w:eastAsia="仿宋_GB2312" w:cs="Times New Roman"/>
          <w:sz w:val="32"/>
          <w:szCs w:val="32"/>
          <w:highlight w:val="none"/>
          <w:lang w:val="en-US" w:eastAsia="zh-CN"/>
        </w:rPr>
        <w:t>新疆维吾尔自治区应急管理厅组织实施了2024年自治区安全生产及应急专项资金项目。该项目聚焦安全生产隐患排查</w:t>
      </w:r>
      <w:r>
        <w:rPr>
          <w:rFonts w:hint="eastAsia" w:eastAsia="仿宋_GB2312" w:cs="Times New Roman"/>
          <w:sz w:val="32"/>
          <w:szCs w:val="32"/>
          <w:highlight w:val="none"/>
          <w:lang w:val="en-US" w:eastAsia="zh-CN"/>
        </w:rPr>
        <w:t>（包括一是</w:t>
      </w:r>
      <w:r>
        <w:rPr>
          <w:rFonts w:hint="default" w:ascii="Times New Roman" w:hAnsi="Times New Roman" w:eastAsia="仿宋_GB2312" w:cs="Times New Roman"/>
          <w:sz w:val="32"/>
          <w:szCs w:val="32"/>
          <w:highlight w:val="none"/>
          <w:lang w:val="en-US" w:eastAsia="zh-CN"/>
        </w:rPr>
        <w:t>组织自治区自治区安全生产目标考核和安全生产大检全面排查整治重大风险隐患，精准发现和严厉打击各类安全生产非法违法行为，坚决遏制各类生产安全事故，压紧压实各地各部门各企业安全生产责任，切实维护人民生命财产安全。</w:t>
      </w:r>
      <w:r>
        <w:rPr>
          <w:rFonts w:hint="eastAsia" w:eastAsia="仿宋_GB2312" w:cs="Times New Roman"/>
          <w:sz w:val="32"/>
          <w:szCs w:val="32"/>
          <w:highlight w:val="none"/>
          <w:lang w:val="en-US" w:eastAsia="zh-CN"/>
        </w:rPr>
        <w:t>二是</w:t>
      </w:r>
      <w:r>
        <w:rPr>
          <w:rFonts w:hint="default" w:ascii="Times New Roman" w:hAnsi="Times New Roman" w:eastAsia="仿宋_GB2312" w:cs="Times New Roman"/>
          <w:sz w:val="32"/>
          <w:szCs w:val="32"/>
          <w:highlight w:val="none"/>
          <w:lang w:val="en-US" w:eastAsia="zh-CN"/>
        </w:rPr>
        <w:t>持续开展危险化学品、非煤矿山、金属冶炼及其它工贸企业安全监管，开展行业领域专项督查、检查，压实企业主体责任。</w:t>
      </w:r>
      <w:r>
        <w:rPr>
          <w:rFonts w:hint="eastAsia" w:eastAsia="仿宋_GB2312" w:cs="Times New Roman"/>
          <w:sz w:val="32"/>
          <w:szCs w:val="32"/>
          <w:highlight w:val="none"/>
          <w:lang w:val="en-US" w:eastAsia="zh-CN"/>
        </w:rPr>
        <w:t>三是</w:t>
      </w:r>
      <w:r>
        <w:rPr>
          <w:rFonts w:hint="default" w:ascii="Times New Roman" w:hAnsi="Times New Roman" w:eastAsia="仿宋_GB2312" w:cs="Times New Roman"/>
          <w:sz w:val="32"/>
          <w:szCs w:val="32"/>
          <w:highlight w:val="none"/>
          <w:lang w:val="en-US" w:eastAsia="zh-CN"/>
        </w:rPr>
        <w:t>采取“执法+专家”形式，开展企业安全生产指导服务工作。</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安全生产综合监管能力建设</w:t>
      </w:r>
      <w:r>
        <w:rPr>
          <w:rFonts w:hint="eastAsia" w:eastAsia="仿宋_GB2312" w:cs="Times New Roman"/>
          <w:sz w:val="32"/>
          <w:szCs w:val="32"/>
          <w:highlight w:val="none"/>
          <w:lang w:val="en-US" w:eastAsia="zh-CN"/>
        </w:rPr>
        <w:t>（两委三部运行保障）、安全生产支撑保障（安全生产综合基地基础运维、自治区安全生产标准化评审等）、应急管理综合保障（包括新闻宣传合作项目，宣传片、公益片制作，编制自治区“十五五”应急管理体系规划、煤矿建设项目安全设施设计审查等）、</w:t>
      </w:r>
      <w:r>
        <w:rPr>
          <w:rFonts w:hint="default" w:ascii="Times New Roman" w:hAnsi="Times New Roman" w:eastAsia="仿宋_GB2312" w:cs="Times New Roman"/>
          <w:sz w:val="32"/>
          <w:szCs w:val="32"/>
          <w:highlight w:val="none"/>
          <w:lang w:val="en-US" w:eastAsia="zh-CN"/>
        </w:rPr>
        <w:t>应急管理体系建设、信息化能力提升等重点领域，旨在保障自治区安全生产形势持续稳定，推动应急管理体系和能力现代化建设。</w:t>
      </w:r>
    </w:p>
    <w:p w14:paraId="1BC871C8">
      <w:pPr>
        <w:pStyle w:val="10"/>
        <w:numPr>
          <w:ilvl w:val="0"/>
          <w:numId w:val="0"/>
        </w:numPr>
        <w:spacing w:before="0" w:after="0" w:line="560" w:lineRule="exact"/>
        <w:ind w:firstLine="643" w:firstLineChars="200"/>
        <w:jc w:val="both"/>
        <w:rPr>
          <w:rFonts w:hint="default" w:ascii="Times New Roman" w:hAnsi="Times New Roman" w:eastAsia="仿宋_GB2312" w:cs="Times New Roman"/>
          <w:kern w:val="2"/>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p>
    <w:p w14:paraId="024B529F">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项目主要内容：按照自治区党委</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政府对应急管理工作的工作部署要求</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开展</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两委三部</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重点会议，强化应急管理统筹协调</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实施安全生产执法检查和指导服务，覆盖全区96个县市区</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完成安全生产综合基地的运行维护，保障基础设施正常运转</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开展综合应急演练，提升安全生产、自然灾害应急救援能力；持续推进应急指挥信息化建设，保障自治区安全生产形势持续稳定。</w:t>
      </w:r>
    </w:p>
    <w:p w14:paraId="36FD8169">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项目实施情况：2024年实际召开了6次</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两委三部</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重点会议，应急管理执法检查覆盖了96个县市区，完成了对安全生产综合基地的运行维护，对应急管</w:t>
      </w:r>
      <w:r>
        <w:rPr>
          <w:rFonts w:hint="default" w:ascii="Times New Roman" w:hAnsi="Times New Roman" w:eastAsia="仿宋_GB2312" w:cs="Times New Roman"/>
          <w:sz w:val="32"/>
          <w:szCs w:val="32"/>
          <w:lang w:eastAsia="zh-CN"/>
        </w:rPr>
        <w:t>理</w:t>
      </w:r>
      <w:r>
        <w:rPr>
          <w:rFonts w:hint="eastAsia" w:eastAsia="仿宋_GB2312" w:cs="Times New Roman"/>
          <w:sz w:val="32"/>
          <w:szCs w:val="32"/>
          <w:lang w:eastAsia="zh-CN"/>
        </w:rPr>
        <w:t>“</w:t>
      </w:r>
      <w:r>
        <w:rPr>
          <w:rFonts w:hint="default" w:ascii="Times New Roman" w:hAnsi="Times New Roman" w:eastAsia="仿宋_GB2312" w:cs="Times New Roman"/>
          <w:sz w:val="32"/>
          <w:szCs w:val="32"/>
          <w:lang w:eastAsia="zh-CN"/>
        </w:rPr>
        <w:t>十四五</w:t>
      </w:r>
      <w:r>
        <w:rPr>
          <w:rFonts w:hint="eastAsia" w:eastAsia="仿宋_GB2312" w:cs="Times New Roman"/>
          <w:sz w:val="32"/>
          <w:szCs w:val="32"/>
          <w:lang w:eastAsia="zh-CN"/>
        </w:rPr>
        <w:t>”</w:t>
      </w:r>
      <w:r>
        <w:rPr>
          <w:rFonts w:hint="default" w:ascii="Times New Roman" w:hAnsi="Times New Roman" w:eastAsia="仿宋_GB2312" w:cs="Times New Roman"/>
          <w:sz w:val="32"/>
          <w:szCs w:val="32"/>
          <w:lang w:eastAsia="zh-CN"/>
        </w:rPr>
        <w:t>规</w:t>
      </w:r>
      <w:r>
        <w:rPr>
          <w:rFonts w:hint="default" w:ascii="Times New Roman" w:hAnsi="Times New Roman" w:eastAsia="仿宋_GB2312" w:cs="Times New Roman"/>
          <w:sz w:val="32"/>
          <w:szCs w:val="32"/>
        </w:rPr>
        <w:t>划实施进展开展了3项监测评估，举办了5场应急管理、安全生产、防灾减灾救灾宣传活动，全年开展了10次各项培训，有效保障了7套应急管理信息系统的运行维护，采购了2批次应急救援装备。通过项目的实施，加大了对重点行业领域的安全监管，提升了应急救援能力，并持续推进自治区应急管理体系和能力现代化建设，保障自治区安全生产形势持续稳定</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rPr>
        <w:t>项目实施过程中，通过科学规划、严格管理，确保各项工作任务按计划推进并高质量完成。</w:t>
      </w:r>
    </w:p>
    <w:p w14:paraId="7330649E">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资金投入和使用情况</w:t>
      </w:r>
    </w:p>
    <w:p w14:paraId="64B8E369">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14:paraId="4D9D7928">
      <w:pPr>
        <w:shd w:val="clear"/>
        <w:spacing w:line="600" w:lineRule="exact"/>
        <w:ind w:firstLine="640" w:firstLineChars="200"/>
        <w:outlineLvl w:val="0"/>
        <w:rPr>
          <w:rFonts w:hint="default" w:ascii="Times New Roman" w:hAnsi="Times New Roman" w:eastAsia="仿宋_GB2312" w:cs="Times New Roman"/>
          <w:color w:val="FF0000"/>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ascii="Times New Roman" w:hAnsi="Times New Roman" w:eastAsia="仿宋_GB2312" w:cs="Times New Roman"/>
          <w:sz w:val="32"/>
          <w:szCs w:val="32"/>
          <w:highlight w:val="none"/>
          <w:lang w:val="en-US" w:eastAsia="zh-CN"/>
        </w:rPr>
        <w:t>4300</w:t>
      </w:r>
      <w:r>
        <w:rPr>
          <w:rFonts w:hint="default" w:ascii="Times New Roman" w:hAnsi="Times New Roman" w:eastAsia="仿宋_GB2312" w:cs="Times New Roman"/>
          <w:sz w:val="32"/>
          <w:szCs w:val="32"/>
          <w:highlight w:val="none"/>
          <w:lang w:val="en-US" w:eastAsia="zh-CN"/>
        </w:rPr>
        <w:t>万元，全年预算数</w:t>
      </w:r>
      <w:r>
        <w:rPr>
          <w:rFonts w:hint="eastAsia" w:ascii="Times New Roman" w:hAnsi="Times New Roman" w:eastAsia="仿宋_GB2312" w:cs="Times New Roman"/>
          <w:sz w:val="32"/>
          <w:szCs w:val="32"/>
          <w:highlight w:val="none"/>
          <w:lang w:val="en-US" w:eastAsia="zh-CN"/>
        </w:rPr>
        <w:t>4300</w:t>
      </w:r>
      <w:r>
        <w:rPr>
          <w:rFonts w:hint="default" w:ascii="Times New Roman" w:hAnsi="Times New Roman" w:eastAsia="仿宋_GB2312" w:cs="Times New Roman"/>
          <w:sz w:val="32"/>
          <w:szCs w:val="32"/>
          <w:highlight w:val="none"/>
          <w:lang w:val="en-US" w:eastAsia="zh-CN"/>
        </w:rPr>
        <w:t>万元，该项目资金已全部落实到位，资金来源为财政拨款。</w:t>
      </w:r>
    </w:p>
    <w:p w14:paraId="0493974A">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14:paraId="0457426D">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ascii="Times New Roman" w:hAnsi="Times New Roman" w:eastAsia="仿宋_GB2312" w:cs="Times New Roman"/>
          <w:sz w:val="32"/>
          <w:szCs w:val="32"/>
          <w:highlight w:val="none"/>
          <w:lang w:val="en-US" w:eastAsia="zh-CN"/>
        </w:rPr>
        <w:t>4300</w:t>
      </w:r>
      <w:r>
        <w:rPr>
          <w:rFonts w:hint="default" w:ascii="Times New Roman" w:hAnsi="Times New Roman" w:eastAsia="仿宋_GB2312" w:cs="Times New Roman"/>
          <w:sz w:val="32"/>
          <w:szCs w:val="32"/>
          <w:highlight w:val="none"/>
          <w:lang w:val="en-US" w:eastAsia="zh-CN"/>
        </w:rPr>
        <w:t>万元，全年预算数</w:t>
      </w:r>
      <w:r>
        <w:rPr>
          <w:rFonts w:hint="eastAsia" w:ascii="Times New Roman" w:hAnsi="Times New Roman" w:eastAsia="仿宋_GB2312" w:cs="Times New Roman"/>
          <w:sz w:val="32"/>
          <w:szCs w:val="32"/>
          <w:highlight w:val="none"/>
          <w:lang w:val="en-US" w:eastAsia="zh-CN"/>
        </w:rPr>
        <w:t>4300</w:t>
      </w:r>
      <w:r>
        <w:rPr>
          <w:rFonts w:hint="default" w:ascii="Times New Roman" w:hAnsi="Times New Roman" w:eastAsia="仿宋_GB2312" w:cs="Times New Roman"/>
          <w:sz w:val="32"/>
          <w:szCs w:val="32"/>
          <w:highlight w:val="none"/>
          <w:lang w:val="en-US" w:eastAsia="zh-CN"/>
        </w:rPr>
        <w:t>万元</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全年执行数4044.25万元，预算执行率为94.05%，主要用于：执法检查、基地运维、宣传培训、信息化建设及装备采购等。</w:t>
      </w:r>
    </w:p>
    <w:p w14:paraId="46100D4F">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14:paraId="648A60AB">
      <w:pPr>
        <w:spacing w:line="560" w:lineRule="exact"/>
        <w:ind w:firstLine="643"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总体目标</w:t>
      </w:r>
    </w:p>
    <w:p w14:paraId="30279065">
      <w:pPr>
        <w:spacing w:line="560" w:lineRule="exact"/>
        <w:ind w:firstLine="624" w:firstLineChars="200"/>
        <w:rPr>
          <w:rFonts w:hint="eastAsia" w:ascii="Times New Roman" w:hAnsi="Times New Roman" w:eastAsia="仿宋_GB2312" w:cs="仿宋_GB2312"/>
          <w:b w:val="0"/>
          <w:bCs/>
          <w:highlight w:val="none"/>
          <w:lang w:eastAsia="zh-CN"/>
        </w:rPr>
      </w:pPr>
      <w:r>
        <w:rPr>
          <w:rStyle w:val="16"/>
          <w:rFonts w:hint="eastAsia" w:ascii="Times New Roman" w:hAnsi="Times New Roman" w:eastAsia="仿宋_GB2312" w:cs="仿宋_GB2312"/>
          <w:b w:val="0"/>
          <w:bCs/>
          <w:spacing w:val="-4"/>
          <w:sz w:val="32"/>
          <w:szCs w:val="32"/>
          <w:highlight w:val="none"/>
          <w:lang w:eastAsia="zh-CN"/>
        </w:rPr>
        <w:t>按照自治区党委</w:t>
      </w:r>
      <w:r>
        <w:rPr>
          <w:rStyle w:val="16"/>
          <w:rFonts w:hint="eastAsia" w:eastAsia="仿宋_GB2312" w:cs="仿宋_GB2312"/>
          <w:b w:val="0"/>
          <w:bCs/>
          <w:spacing w:val="-4"/>
          <w:sz w:val="32"/>
          <w:szCs w:val="32"/>
          <w:highlight w:val="none"/>
          <w:lang w:eastAsia="zh-CN"/>
        </w:rPr>
        <w:t>、</w:t>
      </w:r>
      <w:r>
        <w:rPr>
          <w:rStyle w:val="16"/>
          <w:rFonts w:hint="eastAsia" w:ascii="Times New Roman" w:hAnsi="Times New Roman" w:eastAsia="仿宋_GB2312" w:cs="仿宋_GB2312"/>
          <w:b w:val="0"/>
          <w:bCs/>
          <w:spacing w:val="-4"/>
          <w:sz w:val="32"/>
          <w:szCs w:val="32"/>
          <w:highlight w:val="none"/>
          <w:lang w:eastAsia="zh-CN"/>
        </w:rPr>
        <w:t>政府对应急管理工作的工作部署要求，加强应急管理、安全生产、防灾减灾宣传、教育、法规标准等工作，持续开展重大公共安全事故隐患排查治理，加大重点行业领域安全监管，增强应急管理综合监管执法效能；有效保障安全生产综合基地正常运转；开展综合应急演练，提升安全生产、自然灾害应急救援能力；持续推进应急指挥信息化建设，持续推进自治区应急管理体系和能力现代化建设，保障自治区安全生产形势持续稳定。</w:t>
      </w:r>
    </w:p>
    <w:p w14:paraId="758C77B4">
      <w:pPr>
        <w:spacing w:line="560" w:lineRule="exact"/>
        <w:ind w:firstLine="643" w:firstLineChars="200"/>
        <w:rPr>
          <w:rFonts w:hint="default" w:ascii="Times New Roman" w:hAnsi="Times New Roman" w:eastAsia="仿宋_GB2312" w:cs="Times New Roman"/>
          <w:b/>
          <w:bCs/>
          <w:color w:val="FF0000"/>
          <w:sz w:val="30"/>
          <w:szCs w:val="30"/>
          <w:highlight w:val="none"/>
          <w:lang w:val="en-US" w:eastAsia="zh-CN"/>
        </w:rPr>
      </w:pPr>
      <w:r>
        <w:rPr>
          <w:rFonts w:hint="default" w:ascii="Times New Roman" w:hAnsi="Times New Roman" w:eastAsia="仿宋_GB2312" w:cs="Times New Roman"/>
          <w:b/>
          <w:bCs/>
          <w:sz w:val="32"/>
          <w:szCs w:val="32"/>
          <w:highlight w:val="none"/>
        </w:rPr>
        <w:t>2</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bCs/>
          <w:sz w:val="32"/>
          <w:szCs w:val="32"/>
          <w:highlight w:val="none"/>
        </w:rPr>
        <w:t>阶段性目标</w:t>
      </w:r>
    </w:p>
    <w:p w14:paraId="712832B0">
      <w:pPr>
        <w:spacing w:line="560" w:lineRule="exact"/>
        <w:ind w:firstLine="624" w:firstLineChars="200"/>
        <w:rPr>
          <w:rStyle w:val="16"/>
          <w:rFonts w:hint="eastAsia" w:eastAsia="仿宋_GB2312" w:cs="仿宋_GB2312"/>
          <w:b w:val="0"/>
          <w:bCs/>
          <w:spacing w:val="-4"/>
          <w:sz w:val="32"/>
          <w:szCs w:val="32"/>
          <w:highlight w:val="none"/>
          <w:lang w:eastAsia="zh-CN"/>
        </w:rPr>
      </w:pPr>
      <w:r>
        <w:rPr>
          <w:rStyle w:val="16"/>
          <w:rFonts w:eastAsia="仿宋_GB2312" w:cs="仿宋_GB2312"/>
          <w:b w:val="0"/>
          <w:bCs/>
          <w:spacing w:val="-4"/>
          <w:sz w:val="32"/>
          <w:szCs w:val="32"/>
          <w:highlight w:val="none"/>
        </w:rPr>
        <w:t>第一季度</w:t>
      </w:r>
      <w:r>
        <w:rPr>
          <w:rStyle w:val="16"/>
          <w:rFonts w:hint="eastAsia" w:eastAsia="仿宋_GB2312" w:cs="仿宋_GB2312"/>
          <w:b w:val="0"/>
          <w:bCs/>
          <w:spacing w:val="-4"/>
          <w:sz w:val="32"/>
          <w:szCs w:val="32"/>
          <w:highlight w:val="none"/>
          <w:lang w:val="en-US" w:eastAsia="zh-CN"/>
        </w:rPr>
        <w:t>首次</w:t>
      </w:r>
      <w:r>
        <w:rPr>
          <w:rStyle w:val="16"/>
          <w:rFonts w:eastAsia="仿宋_GB2312" w:cs="仿宋_GB2312"/>
          <w:b w:val="0"/>
          <w:bCs/>
          <w:spacing w:val="-4"/>
          <w:sz w:val="32"/>
          <w:szCs w:val="32"/>
          <w:highlight w:val="none"/>
        </w:rPr>
        <w:t>召开“两委三部”重点会议，部署年度安全生产及应急工作目标</w:t>
      </w:r>
      <w:r>
        <w:rPr>
          <w:rStyle w:val="16"/>
          <w:rFonts w:hint="eastAsia" w:eastAsia="仿宋_GB2312" w:cs="仿宋_GB2312"/>
          <w:b w:val="0"/>
          <w:bCs/>
          <w:spacing w:val="-4"/>
          <w:sz w:val="32"/>
          <w:szCs w:val="32"/>
          <w:highlight w:val="none"/>
          <w:lang w:eastAsia="zh-CN"/>
        </w:rPr>
        <w:t>；</w:t>
      </w:r>
      <w:r>
        <w:rPr>
          <w:rStyle w:val="16"/>
          <w:rFonts w:eastAsia="仿宋_GB2312" w:cs="仿宋_GB2312"/>
          <w:b w:val="0"/>
          <w:bCs/>
          <w:spacing w:val="-4"/>
          <w:sz w:val="32"/>
          <w:szCs w:val="32"/>
          <w:highlight w:val="none"/>
        </w:rPr>
        <w:t>启动安全生产综合基地运维，保障基础设施稳定运行</w:t>
      </w:r>
      <w:r>
        <w:rPr>
          <w:rStyle w:val="16"/>
          <w:rFonts w:hint="eastAsia" w:eastAsia="仿宋_GB2312" w:cs="仿宋_GB2312"/>
          <w:b w:val="0"/>
          <w:bCs/>
          <w:spacing w:val="-4"/>
          <w:sz w:val="32"/>
          <w:szCs w:val="32"/>
          <w:highlight w:val="none"/>
          <w:lang w:eastAsia="zh-CN"/>
        </w:rPr>
        <w:t>；</w:t>
      </w:r>
      <w:r>
        <w:rPr>
          <w:rStyle w:val="16"/>
          <w:rFonts w:eastAsia="仿宋_GB2312" w:cs="仿宋_GB2312"/>
          <w:b w:val="0"/>
          <w:bCs/>
          <w:spacing w:val="-4"/>
          <w:sz w:val="32"/>
          <w:szCs w:val="32"/>
          <w:highlight w:val="none"/>
        </w:rPr>
        <w:t>按计划推进</w:t>
      </w:r>
      <w:r>
        <w:rPr>
          <w:rStyle w:val="16"/>
          <w:rFonts w:hint="default" w:eastAsia="仿宋_GB2312" w:cs="仿宋_GB2312"/>
          <w:b w:val="0"/>
          <w:bCs/>
          <w:spacing w:val="-4"/>
          <w:sz w:val="32"/>
          <w:szCs w:val="32"/>
          <w:highlight w:val="none"/>
          <w:lang w:val="en-US" w:eastAsia="zh-CN"/>
        </w:rPr>
        <w:t>覆盖</w:t>
      </w:r>
      <w:r>
        <w:rPr>
          <w:rStyle w:val="16"/>
          <w:rFonts w:hint="eastAsia" w:eastAsia="仿宋_GB2312" w:cs="仿宋_GB2312"/>
          <w:b w:val="0"/>
          <w:bCs/>
          <w:spacing w:val="-4"/>
          <w:sz w:val="32"/>
          <w:szCs w:val="32"/>
          <w:highlight w:val="none"/>
          <w:lang w:val="en-US" w:eastAsia="zh-CN"/>
        </w:rPr>
        <w:t>96个</w:t>
      </w:r>
      <w:r>
        <w:rPr>
          <w:rStyle w:val="16"/>
          <w:rFonts w:hint="default" w:eastAsia="仿宋_GB2312" w:cs="仿宋_GB2312"/>
          <w:b w:val="0"/>
          <w:bCs/>
          <w:spacing w:val="-4"/>
          <w:sz w:val="32"/>
          <w:szCs w:val="32"/>
          <w:highlight w:val="none"/>
          <w:lang w:val="en-US" w:eastAsia="zh-CN"/>
        </w:rPr>
        <w:t>县市区</w:t>
      </w:r>
      <w:r>
        <w:rPr>
          <w:rStyle w:val="16"/>
          <w:rFonts w:eastAsia="仿宋_GB2312" w:cs="仿宋_GB2312"/>
          <w:b w:val="0"/>
          <w:bCs/>
          <w:spacing w:val="-4"/>
          <w:sz w:val="32"/>
          <w:szCs w:val="32"/>
          <w:highlight w:val="none"/>
        </w:rPr>
        <w:t>执法检查</w:t>
      </w:r>
      <w:r>
        <w:rPr>
          <w:rStyle w:val="16"/>
          <w:rFonts w:hint="eastAsia" w:eastAsia="仿宋_GB2312" w:cs="仿宋_GB2312"/>
          <w:b w:val="0"/>
          <w:bCs/>
          <w:spacing w:val="-4"/>
          <w:sz w:val="32"/>
          <w:szCs w:val="32"/>
          <w:highlight w:val="none"/>
          <w:lang w:eastAsia="zh-CN"/>
        </w:rPr>
        <w:t>；</w:t>
      </w:r>
      <w:r>
        <w:rPr>
          <w:rStyle w:val="16"/>
          <w:rFonts w:eastAsia="仿宋_GB2312" w:cs="仿宋_GB2312"/>
          <w:b w:val="0"/>
          <w:bCs/>
          <w:spacing w:val="-4"/>
          <w:sz w:val="32"/>
          <w:szCs w:val="32"/>
          <w:highlight w:val="none"/>
        </w:rPr>
        <w:t>开展应急管理“十四五”规划监测评估前期数据收集及分析工作</w:t>
      </w:r>
      <w:r>
        <w:rPr>
          <w:rStyle w:val="16"/>
          <w:rFonts w:hint="eastAsia" w:eastAsia="仿宋_GB2312" w:cs="仿宋_GB2312"/>
          <w:b w:val="0"/>
          <w:bCs/>
          <w:spacing w:val="-4"/>
          <w:sz w:val="32"/>
          <w:szCs w:val="32"/>
          <w:highlight w:val="none"/>
          <w:lang w:eastAsia="zh-CN"/>
        </w:rPr>
        <w:t>；</w:t>
      </w:r>
      <w:r>
        <w:rPr>
          <w:rStyle w:val="16"/>
          <w:rFonts w:eastAsia="仿宋_GB2312" w:cs="仿宋_GB2312"/>
          <w:b w:val="0"/>
          <w:bCs/>
          <w:spacing w:val="-4"/>
          <w:sz w:val="32"/>
          <w:szCs w:val="32"/>
          <w:highlight w:val="none"/>
        </w:rPr>
        <w:t>组织应急管理专题培训，提升</w:t>
      </w:r>
      <w:r>
        <w:rPr>
          <w:rStyle w:val="16"/>
          <w:rFonts w:hint="eastAsia" w:eastAsia="仿宋_GB2312" w:cs="仿宋_GB2312"/>
          <w:b w:val="0"/>
          <w:bCs/>
          <w:spacing w:val="-4"/>
          <w:sz w:val="32"/>
          <w:szCs w:val="32"/>
          <w:highlight w:val="none"/>
          <w:lang w:val="en-US" w:eastAsia="zh-CN"/>
        </w:rPr>
        <w:t>应急管理</w:t>
      </w:r>
      <w:r>
        <w:rPr>
          <w:rStyle w:val="16"/>
          <w:rFonts w:hint="eastAsia" w:eastAsia="仿宋_GB2312" w:cs="仿宋_GB2312"/>
          <w:b w:val="0"/>
          <w:bCs/>
          <w:spacing w:val="-4"/>
          <w:sz w:val="32"/>
          <w:szCs w:val="32"/>
          <w:highlight w:val="none"/>
          <w:lang w:eastAsia="zh-CN"/>
        </w:rPr>
        <w:t>相关</w:t>
      </w:r>
      <w:r>
        <w:rPr>
          <w:rStyle w:val="16"/>
          <w:rFonts w:eastAsia="仿宋_GB2312" w:cs="仿宋_GB2312"/>
          <w:b w:val="0"/>
          <w:bCs/>
          <w:spacing w:val="-4"/>
          <w:sz w:val="32"/>
          <w:szCs w:val="32"/>
          <w:highlight w:val="none"/>
        </w:rPr>
        <w:t>人员专业能力</w:t>
      </w:r>
      <w:r>
        <w:rPr>
          <w:rStyle w:val="16"/>
          <w:rFonts w:hint="eastAsia" w:eastAsia="仿宋_GB2312" w:cs="仿宋_GB2312"/>
          <w:b w:val="0"/>
          <w:bCs/>
          <w:spacing w:val="-4"/>
          <w:sz w:val="32"/>
          <w:szCs w:val="32"/>
          <w:highlight w:val="none"/>
          <w:lang w:eastAsia="zh-CN"/>
        </w:rPr>
        <w:t>；</w:t>
      </w:r>
      <w:r>
        <w:rPr>
          <w:rStyle w:val="16"/>
          <w:rFonts w:hint="eastAsia" w:eastAsia="仿宋_GB2312" w:cs="仿宋_GB2312"/>
          <w:b w:val="0"/>
          <w:bCs/>
          <w:spacing w:val="-4"/>
          <w:sz w:val="32"/>
          <w:szCs w:val="32"/>
          <w:highlight w:val="none"/>
        </w:rPr>
        <w:t>启动第1批次应急救援装备采购，确保流程规范</w:t>
      </w:r>
      <w:r>
        <w:rPr>
          <w:rStyle w:val="16"/>
          <w:rFonts w:hint="eastAsia" w:eastAsia="仿宋_GB2312" w:cs="仿宋_GB2312"/>
          <w:b w:val="0"/>
          <w:bCs/>
          <w:spacing w:val="-4"/>
          <w:sz w:val="32"/>
          <w:szCs w:val="32"/>
          <w:highlight w:val="none"/>
          <w:lang w:eastAsia="zh-CN"/>
        </w:rPr>
        <w:t>。</w:t>
      </w:r>
    </w:p>
    <w:p w14:paraId="3A862F7A">
      <w:pPr>
        <w:spacing w:line="560" w:lineRule="exact"/>
        <w:ind w:firstLine="624" w:firstLineChars="200"/>
        <w:rPr>
          <w:rStyle w:val="16"/>
          <w:rFonts w:hint="eastAsia" w:eastAsia="仿宋_GB2312" w:cs="仿宋_GB2312"/>
          <w:b w:val="0"/>
          <w:bCs/>
          <w:spacing w:val="-4"/>
          <w:sz w:val="32"/>
          <w:szCs w:val="32"/>
          <w:highlight w:val="none"/>
          <w:lang w:val="en-US" w:eastAsia="zh-CN"/>
        </w:rPr>
      </w:pPr>
      <w:r>
        <w:rPr>
          <w:rStyle w:val="16"/>
          <w:rFonts w:hint="eastAsia" w:eastAsia="仿宋_GB2312" w:cs="仿宋_GB2312"/>
          <w:b w:val="0"/>
          <w:bCs/>
          <w:spacing w:val="-4"/>
          <w:sz w:val="32"/>
          <w:szCs w:val="32"/>
          <w:highlight w:val="none"/>
          <w:lang w:val="en-US" w:eastAsia="zh-CN"/>
        </w:rPr>
        <w:t>第二季度持续推进“两委三部”会议，动态调整工作计划；深化安全生产综合基地运维，优化设施功能；持续完成</w:t>
      </w:r>
      <w:r>
        <w:rPr>
          <w:rStyle w:val="16"/>
          <w:rFonts w:hint="default" w:eastAsia="仿宋_GB2312" w:cs="仿宋_GB2312"/>
          <w:b w:val="0"/>
          <w:bCs/>
          <w:spacing w:val="-4"/>
          <w:sz w:val="32"/>
          <w:szCs w:val="32"/>
          <w:highlight w:val="none"/>
          <w:lang w:val="en-US" w:eastAsia="zh-CN"/>
        </w:rPr>
        <w:t>覆盖</w:t>
      </w:r>
      <w:r>
        <w:rPr>
          <w:rStyle w:val="16"/>
          <w:rFonts w:hint="eastAsia" w:eastAsia="仿宋_GB2312" w:cs="仿宋_GB2312"/>
          <w:b w:val="0"/>
          <w:bCs/>
          <w:spacing w:val="-4"/>
          <w:sz w:val="32"/>
          <w:szCs w:val="32"/>
          <w:highlight w:val="none"/>
          <w:lang w:val="en-US" w:eastAsia="zh-CN"/>
        </w:rPr>
        <w:t>96个</w:t>
      </w:r>
      <w:r>
        <w:rPr>
          <w:rStyle w:val="16"/>
          <w:rFonts w:hint="default" w:eastAsia="仿宋_GB2312" w:cs="仿宋_GB2312"/>
          <w:b w:val="0"/>
          <w:bCs/>
          <w:spacing w:val="-4"/>
          <w:sz w:val="32"/>
          <w:szCs w:val="32"/>
          <w:highlight w:val="none"/>
          <w:lang w:val="en-US" w:eastAsia="zh-CN"/>
        </w:rPr>
        <w:t>县市区</w:t>
      </w:r>
      <w:r>
        <w:rPr>
          <w:rStyle w:val="16"/>
          <w:rFonts w:hint="eastAsia" w:eastAsia="仿宋_GB2312" w:cs="仿宋_GB2312"/>
          <w:b w:val="0"/>
          <w:bCs/>
          <w:spacing w:val="-4"/>
          <w:sz w:val="32"/>
          <w:szCs w:val="32"/>
          <w:highlight w:val="none"/>
          <w:lang w:val="en-US" w:eastAsia="zh-CN"/>
        </w:rPr>
        <w:t>执法检查，强化重点领域隐患排查；实施第2批次应急救援装备采购，完成初步验收；结合“安全生产月”集中开展安全生产宣传活动；持续开展</w:t>
      </w:r>
      <w:r>
        <w:rPr>
          <w:rStyle w:val="16"/>
          <w:rFonts w:eastAsia="仿宋_GB2312" w:cs="仿宋_GB2312"/>
          <w:b w:val="0"/>
          <w:bCs/>
          <w:spacing w:val="-4"/>
          <w:sz w:val="32"/>
          <w:szCs w:val="32"/>
          <w:highlight w:val="none"/>
        </w:rPr>
        <w:t>应急管理专题培训，提升</w:t>
      </w:r>
      <w:r>
        <w:rPr>
          <w:rStyle w:val="16"/>
          <w:rFonts w:hint="eastAsia" w:eastAsia="仿宋_GB2312" w:cs="仿宋_GB2312"/>
          <w:b w:val="0"/>
          <w:bCs/>
          <w:spacing w:val="-4"/>
          <w:sz w:val="32"/>
          <w:szCs w:val="32"/>
          <w:highlight w:val="none"/>
          <w:lang w:val="en-US" w:eastAsia="zh-CN"/>
        </w:rPr>
        <w:t>应急管理相关</w:t>
      </w:r>
      <w:r>
        <w:rPr>
          <w:rStyle w:val="16"/>
          <w:rFonts w:eastAsia="仿宋_GB2312" w:cs="仿宋_GB2312"/>
          <w:b w:val="0"/>
          <w:bCs/>
          <w:spacing w:val="-4"/>
          <w:sz w:val="32"/>
          <w:szCs w:val="32"/>
          <w:highlight w:val="none"/>
        </w:rPr>
        <w:t>人员专业能力</w:t>
      </w:r>
      <w:r>
        <w:rPr>
          <w:rStyle w:val="16"/>
          <w:rFonts w:hint="eastAsia" w:eastAsia="仿宋_GB2312" w:cs="仿宋_GB2312"/>
          <w:b w:val="0"/>
          <w:bCs/>
          <w:spacing w:val="-4"/>
          <w:sz w:val="32"/>
          <w:szCs w:val="32"/>
          <w:highlight w:val="none"/>
          <w:lang w:eastAsia="zh-CN"/>
        </w:rPr>
        <w:t>；</w:t>
      </w:r>
      <w:r>
        <w:rPr>
          <w:rStyle w:val="16"/>
          <w:rFonts w:hint="eastAsia" w:eastAsia="仿宋_GB2312" w:cs="仿宋_GB2312"/>
          <w:b w:val="0"/>
          <w:bCs/>
          <w:spacing w:val="-4"/>
          <w:sz w:val="32"/>
          <w:szCs w:val="32"/>
          <w:highlight w:val="none"/>
          <w:lang w:val="en-US" w:eastAsia="zh-CN"/>
        </w:rPr>
        <w:t>推进“十四五”规划中期监测评估，形成中期分析报告。</w:t>
      </w:r>
    </w:p>
    <w:p w14:paraId="1A7EA66E">
      <w:pPr>
        <w:spacing w:line="560" w:lineRule="exact"/>
        <w:ind w:firstLine="624" w:firstLineChars="200"/>
        <w:rPr>
          <w:rStyle w:val="16"/>
          <w:rFonts w:hint="eastAsia" w:eastAsia="仿宋_GB2312" w:cs="仿宋_GB2312"/>
          <w:b w:val="0"/>
          <w:bCs/>
          <w:spacing w:val="-4"/>
          <w:sz w:val="32"/>
          <w:szCs w:val="32"/>
          <w:highlight w:val="none"/>
          <w:lang w:val="en-US" w:eastAsia="zh-CN"/>
        </w:rPr>
      </w:pPr>
      <w:r>
        <w:rPr>
          <w:rStyle w:val="16"/>
          <w:rFonts w:hint="default" w:eastAsia="仿宋_GB2312" w:cs="仿宋_GB2312"/>
          <w:b w:val="0"/>
          <w:bCs/>
          <w:spacing w:val="-4"/>
          <w:sz w:val="32"/>
          <w:szCs w:val="32"/>
          <w:highlight w:val="none"/>
          <w:lang w:val="en-US" w:eastAsia="zh-CN"/>
        </w:rPr>
        <w:t>第三季度</w:t>
      </w:r>
      <w:r>
        <w:rPr>
          <w:rStyle w:val="16"/>
          <w:rFonts w:hint="eastAsia" w:eastAsia="仿宋_GB2312" w:cs="仿宋_GB2312"/>
          <w:b w:val="0"/>
          <w:bCs/>
          <w:spacing w:val="-4"/>
          <w:sz w:val="32"/>
          <w:szCs w:val="32"/>
          <w:highlight w:val="none"/>
          <w:lang w:val="en-US" w:eastAsia="zh-CN"/>
        </w:rPr>
        <w:t>持续召开</w:t>
      </w:r>
      <w:r>
        <w:rPr>
          <w:rStyle w:val="16"/>
          <w:rFonts w:hint="default" w:eastAsia="仿宋_GB2312" w:cs="仿宋_GB2312"/>
          <w:b w:val="0"/>
          <w:bCs/>
          <w:spacing w:val="-4"/>
          <w:sz w:val="32"/>
          <w:szCs w:val="32"/>
          <w:highlight w:val="none"/>
          <w:lang w:val="en-US" w:eastAsia="zh-CN"/>
        </w:rPr>
        <w:t>“两委三部”会议，协调跨部门协作</w:t>
      </w:r>
      <w:r>
        <w:rPr>
          <w:rStyle w:val="16"/>
          <w:rFonts w:hint="eastAsia" w:eastAsia="仿宋_GB2312" w:cs="仿宋_GB2312"/>
          <w:b w:val="0"/>
          <w:bCs/>
          <w:spacing w:val="-4"/>
          <w:sz w:val="32"/>
          <w:szCs w:val="32"/>
          <w:highlight w:val="none"/>
          <w:lang w:val="en-US" w:eastAsia="zh-CN"/>
        </w:rPr>
        <w:t>；完成</w:t>
      </w:r>
      <w:r>
        <w:rPr>
          <w:rStyle w:val="16"/>
          <w:rFonts w:hint="default" w:eastAsia="仿宋_GB2312" w:cs="仿宋_GB2312"/>
          <w:b w:val="0"/>
          <w:bCs/>
          <w:spacing w:val="-4"/>
          <w:sz w:val="32"/>
          <w:szCs w:val="32"/>
          <w:highlight w:val="none"/>
          <w:lang w:val="en-US" w:eastAsia="zh-CN"/>
        </w:rPr>
        <w:t>安全生产综合基地</w:t>
      </w:r>
      <w:r>
        <w:rPr>
          <w:rStyle w:val="16"/>
          <w:rFonts w:hint="eastAsia" w:eastAsia="仿宋_GB2312" w:cs="仿宋_GB2312"/>
          <w:b w:val="0"/>
          <w:bCs/>
          <w:spacing w:val="-4"/>
          <w:sz w:val="32"/>
          <w:szCs w:val="32"/>
          <w:highlight w:val="none"/>
          <w:lang w:val="en-US" w:eastAsia="zh-CN"/>
        </w:rPr>
        <w:t>第三季度运维</w:t>
      </w:r>
      <w:r>
        <w:rPr>
          <w:rStyle w:val="16"/>
          <w:rFonts w:hint="default" w:eastAsia="仿宋_GB2312" w:cs="仿宋_GB2312"/>
          <w:b w:val="0"/>
          <w:bCs/>
          <w:spacing w:val="-4"/>
          <w:sz w:val="32"/>
          <w:szCs w:val="32"/>
          <w:highlight w:val="none"/>
          <w:lang w:val="en-US" w:eastAsia="zh-CN"/>
        </w:rPr>
        <w:t>，</w:t>
      </w:r>
      <w:r>
        <w:rPr>
          <w:rStyle w:val="16"/>
          <w:rFonts w:hint="eastAsia" w:eastAsia="仿宋_GB2312" w:cs="仿宋_GB2312"/>
          <w:b w:val="0"/>
          <w:bCs/>
          <w:spacing w:val="-4"/>
          <w:sz w:val="32"/>
          <w:szCs w:val="32"/>
          <w:highlight w:val="none"/>
          <w:lang w:val="en-US" w:eastAsia="zh-CN"/>
        </w:rPr>
        <w:t>确保应急响应能力；持续</w:t>
      </w:r>
      <w:r>
        <w:rPr>
          <w:rStyle w:val="16"/>
          <w:rFonts w:hint="default" w:eastAsia="仿宋_GB2312" w:cs="仿宋_GB2312"/>
          <w:b w:val="0"/>
          <w:bCs/>
          <w:spacing w:val="-4"/>
          <w:sz w:val="32"/>
          <w:szCs w:val="32"/>
          <w:highlight w:val="none"/>
          <w:lang w:val="en-US" w:eastAsia="zh-CN"/>
        </w:rPr>
        <w:t>完成覆盖</w:t>
      </w:r>
      <w:r>
        <w:rPr>
          <w:rStyle w:val="16"/>
          <w:rFonts w:hint="eastAsia" w:eastAsia="仿宋_GB2312" w:cs="仿宋_GB2312"/>
          <w:b w:val="0"/>
          <w:bCs/>
          <w:spacing w:val="-4"/>
          <w:sz w:val="32"/>
          <w:szCs w:val="32"/>
          <w:highlight w:val="none"/>
          <w:lang w:val="en-US" w:eastAsia="zh-CN"/>
        </w:rPr>
        <w:t>96个</w:t>
      </w:r>
      <w:r>
        <w:rPr>
          <w:rStyle w:val="16"/>
          <w:rFonts w:hint="default" w:eastAsia="仿宋_GB2312" w:cs="仿宋_GB2312"/>
          <w:b w:val="0"/>
          <w:bCs/>
          <w:spacing w:val="-4"/>
          <w:sz w:val="32"/>
          <w:szCs w:val="32"/>
          <w:highlight w:val="none"/>
          <w:lang w:val="en-US" w:eastAsia="zh-CN"/>
        </w:rPr>
        <w:t>县市区执法检查</w:t>
      </w:r>
      <w:r>
        <w:rPr>
          <w:rStyle w:val="16"/>
          <w:rFonts w:hint="eastAsia" w:eastAsia="仿宋_GB2312" w:cs="仿宋_GB2312"/>
          <w:b w:val="0"/>
          <w:bCs/>
          <w:spacing w:val="-4"/>
          <w:sz w:val="32"/>
          <w:szCs w:val="32"/>
          <w:highlight w:val="none"/>
          <w:lang w:val="en-US" w:eastAsia="zh-CN"/>
        </w:rPr>
        <w:t>，推进重点领域隐患问题整改；验收</w:t>
      </w:r>
      <w:r>
        <w:rPr>
          <w:rStyle w:val="16"/>
          <w:rFonts w:hint="default" w:eastAsia="仿宋_GB2312" w:cs="仿宋_GB2312"/>
          <w:b w:val="0"/>
          <w:bCs/>
          <w:spacing w:val="-4"/>
          <w:sz w:val="32"/>
          <w:szCs w:val="32"/>
          <w:highlight w:val="none"/>
          <w:lang w:val="en-US" w:eastAsia="zh-CN"/>
        </w:rPr>
        <w:t>应急救援装备</w:t>
      </w:r>
      <w:r>
        <w:rPr>
          <w:rStyle w:val="16"/>
          <w:rFonts w:hint="eastAsia" w:eastAsia="仿宋_GB2312" w:cs="仿宋_GB2312"/>
          <w:b w:val="0"/>
          <w:bCs/>
          <w:spacing w:val="-4"/>
          <w:sz w:val="32"/>
          <w:szCs w:val="32"/>
          <w:highlight w:val="none"/>
          <w:lang w:val="en-US" w:eastAsia="zh-CN"/>
        </w:rPr>
        <w:t>，确保设备质量100%合格；</w:t>
      </w:r>
      <w:r>
        <w:rPr>
          <w:rStyle w:val="16"/>
          <w:rFonts w:hint="default" w:eastAsia="仿宋_GB2312" w:cs="仿宋_GB2312"/>
          <w:b w:val="0"/>
          <w:bCs/>
          <w:spacing w:val="-4"/>
          <w:sz w:val="32"/>
          <w:szCs w:val="32"/>
          <w:highlight w:val="none"/>
          <w:lang w:val="en-US" w:eastAsia="zh-CN"/>
        </w:rPr>
        <w:t>持续开展安全生产宣传活动，扩大社会参与覆盖面</w:t>
      </w:r>
      <w:r>
        <w:rPr>
          <w:rStyle w:val="16"/>
          <w:rFonts w:hint="eastAsia" w:eastAsia="仿宋_GB2312" w:cs="仿宋_GB2312"/>
          <w:b w:val="0"/>
          <w:bCs/>
          <w:spacing w:val="-4"/>
          <w:sz w:val="32"/>
          <w:szCs w:val="32"/>
          <w:highlight w:val="none"/>
          <w:lang w:val="en-US" w:eastAsia="zh-CN"/>
        </w:rPr>
        <w:t>；持续开展</w:t>
      </w:r>
      <w:r>
        <w:rPr>
          <w:rStyle w:val="16"/>
          <w:rFonts w:eastAsia="仿宋_GB2312" w:cs="仿宋_GB2312"/>
          <w:b w:val="0"/>
          <w:bCs/>
          <w:spacing w:val="-4"/>
          <w:sz w:val="32"/>
          <w:szCs w:val="32"/>
          <w:highlight w:val="none"/>
        </w:rPr>
        <w:t>应急管理专题培训，提升</w:t>
      </w:r>
      <w:r>
        <w:rPr>
          <w:rStyle w:val="16"/>
          <w:rFonts w:hint="eastAsia" w:eastAsia="仿宋_GB2312" w:cs="仿宋_GB2312"/>
          <w:b w:val="0"/>
          <w:bCs/>
          <w:spacing w:val="-4"/>
          <w:sz w:val="32"/>
          <w:szCs w:val="32"/>
          <w:highlight w:val="none"/>
          <w:lang w:val="en-US" w:eastAsia="zh-CN"/>
        </w:rPr>
        <w:t>应急管理相关</w:t>
      </w:r>
      <w:r>
        <w:rPr>
          <w:rStyle w:val="16"/>
          <w:rFonts w:eastAsia="仿宋_GB2312" w:cs="仿宋_GB2312"/>
          <w:b w:val="0"/>
          <w:bCs/>
          <w:spacing w:val="-4"/>
          <w:sz w:val="32"/>
          <w:szCs w:val="32"/>
          <w:highlight w:val="none"/>
        </w:rPr>
        <w:t>人员专业能力</w:t>
      </w:r>
      <w:r>
        <w:rPr>
          <w:rStyle w:val="16"/>
          <w:rFonts w:hint="eastAsia" w:eastAsia="仿宋_GB2312" w:cs="仿宋_GB2312"/>
          <w:b w:val="0"/>
          <w:bCs/>
          <w:spacing w:val="-4"/>
          <w:sz w:val="32"/>
          <w:szCs w:val="32"/>
          <w:highlight w:val="none"/>
          <w:lang w:eastAsia="zh-CN"/>
        </w:rPr>
        <w:t>；</w:t>
      </w:r>
      <w:r>
        <w:rPr>
          <w:rStyle w:val="16"/>
          <w:rFonts w:hint="default" w:eastAsia="仿宋_GB2312" w:cs="仿宋_GB2312"/>
          <w:b w:val="0"/>
          <w:bCs/>
          <w:spacing w:val="-4"/>
          <w:sz w:val="32"/>
          <w:szCs w:val="32"/>
          <w:highlight w:val="none"/>
          <w:lang w:val="en-US" w:eastAsia="zh-CN"/>
        </w:rPr>
        <w:t>深化“十四五”规划监测评估，</w:t>
      </w:r>
      <w:r>
        <w:rPr>
          <w:rStyle w:val="16"/>
          <w:rFonts w:hint="eastAsia" w:eastAsia="仿宋_GB2312" w:cs="仿宋_GB2312"/>
          <w:b w:val="0"/>
          <w:bCs/>
          <w:spacing w:val="-4"/>
          <w:sz w:val="32"/>
          <w:szCs w:val="32"/>
          <w:highlight w:val="none"/>
          <w:lang w:val="en-US" w:eastAsia="zh-CN"/>
        </w:rPr>
        <w:t>完善监测机制。</w:t>
      </w:r>
    </w:p>
    <w:p w14:paraId="7A13946C">
      <w:pPr>
        <w:spacing w:line="560" w:lineRule="exact"/>
        <w:ind w:firstLine="624" w:firstLineChars="200"/>
        <w:rPr>
          <w:rStyle w:val="16"/>
          <w:rFonts w:hint="default" w:eastAsia="仿宋_GB2312" w:cs="仿宋_GB2312"/>
          <w:b w:val="0"/>
          <w:bCs/>
          <w:spacing w:val="-4"/>
          <w:sz w:val="32"/>
          <w:szCs w:val="32"/>
          <w:highlight w:val="none"/>
          <w:lang w:val="en-US" w:eastAsia="zh-CN"/>
        </w:rPr>
      </w:pPr>
      <w:r>
        <w:rPr>
          <w:rStyle w:val="16"/>
          <w:rFonts w:hint="eastAsia" w:eastAsia="仿宋_GB2312" w:cs="仿宋_GB2312"/>
          <w:b w:val="0"/>
          <w:bCs/>
          <w:spacing w:val="-4"/>
          <w:sz w:val="32"/>
          <w:szCs w:val="32"/>
          <w:highlight w:val="none"/>
          <w:lang w:val="en-US" w:eastAsia="zh-CN"/>
        </w:rPr>
        <w:t>第四季度召开</w:t>
      </w:r>
      <w:r>
        <w:rPr>
          <w:rStyle w:val="16"/>
          <w:rFonts w:hint="default" w:eastAsia="仿宋_GB2312" w:cs="仿宋_GB2312"/>
          <w:b w:val="0"/>
          <w:bCs/>
          <w:spacing w:val="-4"/>
          <w:sz w:val="32"/>
          <w:szCs w:val="32"/>
          <w:highlight w:val="none"/>
          <w:lang w:val="en-US" w:eastAsia="zh-CN"/>
        </w:rPr>
        <w:t>“两委三部”会议</w:t>
      </w:r>
      <w:r>
        <w:rPr>
          <w:rStyle w:val="16"/>
          <w:rFonts w:hint="eastAsia" w:eastAsia="仿宋_GB2312" w:cs="仿宋_GB2312"/>
          <w:b w:val="0"/>
          <w:bCs/>
          <w:spacing w:val="-4"/>
          <w:sz w:val="32"/>
          <w:szCs w:val="32"/>
          <w:highlight w:val="none"/>
          <w:lang w:val="en-US" w:eastAsia="zh-CN"/>
        </w:rPr>
        <w:t>，总结全年工作计划并制定下年度计划；总结安全生产综合基地年度运维经验，优化管理机制；完成全年96个县市区执法检查全覆盖，形成年度监督检查报告；验收全部应急救援装备，确保100%合格率并投入使用；形成“十四五”规划年度监测评估报告，衔接后续规划目标；完成全年应急管理培训目标，强化队伍能力建设。</w:t>
      </w:r>
    </w:p>
    <w:p w14:paraId="4219CEBC">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w:t>
      </w:r>
      <w:r>
        <w:rPr>
          <w:rFonts w:hint="eastAsia" w:eastAsia="黑体" w:cs="Times New Roman"/>
          <w:sz w:val="32"/>
          <w:szCs w:val="32"/>
          <w:lang w:eastAsia="zh-CN"/>
        </w:rPr>
        <w:t>、</w:t>
      </w:r>
      <w:r>
        <w:rPr>
          <w:rFonts w:hint="default" w:ascii="Times New Roman" w:hAnsi="Times New Roman" w:eastAsia="黑体" w:cs="Times New Roman"/>
          <w:sz w:val="32"/>
          <w:szCs w:val="32"/>
        </w:rPr>
        <w:t>绩效评价工作开展情况</w:t>
      </w:r>
    </w:p>
    <w:p w14:paraId="25D15507">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14:paraId="5F8BEEC9">
      <w:pPr>
        <w:pStyle w:val="10"/>
        <w:widowControl w:val="0"/>
        <w:spacing w:before="0" w:after="0" w:line="560" w:lineRule="exact"/>
        <w:ind w:firstLine="643"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bCs/>
          <w:highlight w:val="none"/>
          <w:lang w:val="en-US" w:eastAsia="zh-CN"/>
        </w:rPr>
        <w:t>1.绩效评价完整性</w:t>
      </w:r>
    </w:p>
    <w:p w14:paraId="4E57CD83">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14:paraId="51F6FBE0">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w:t>
      </w:r>
      <w:r>
        <w:rPr>
          <w:rFonts w:hint="eastAsia" w:eastAsia="仿宋_GB2312" w:cs="Times New Roman"/>
          <w:sz w:val="32"/>
          <w:szCs w:val="32"/>
          <w:highlight w:val="none"/>
          <w:lang w:val="en-US" w:eastAsia="zh-CN"/>
        </w:rPr>
        <w:t>产出、成本、</w:t>
      </w:r>
      <w:r>
        <w:rPr>
          <w:rFonts w:hint="default" w:ascii="Times New Roman" w:hAnsi="Times New Roman" w:eastAsia="仿宋_GB2312" w:cs="Times New Roman"/>
          <w:sz w:val="32"/>
          <w:szCs w:val="32"/>
          <w:highlight w:val="none"/>
          <w:lang w:val="en-US" w:eastAsia="zh-CN"/>
        </w:rPr>
        <w:t>社会效益</w:t>
      </w:r>
      <w:r>
        <w:rPr>
          <w:rFonts w:hint="eastAsia" w:eastAsia="仿宋_GB2312" w:cs="Times New Roman"/>
          <w:sz w:val="32"/>
          <w:szCs w:val="32"/>
          <w:highlight w:val="none"/>
          <w:lang w:val="en-US" w:eastAsia="zh-CN"/>
        </w:rPr>
        <w:t>、满意度</w:t>
      </w:r>
      <w:r>
        <w:rPr>
          <w:rFonts w:hint="default" w:ascii="Times New Roman" w:hAnsi="Times New Roman" w:eastAsia="仿宋_GB2312" w:cs="Times New Roman"/>
          <w:sz w:val="32"/>
          <w:szCs w:val="32"/>
          <w:highlight w:val="none"/>
          <w:lang w:val="en-US" w:eastAsia="zh-CN"/>
        </w:rPr>
        <w:t>等多个维度，力求全方位反映项目的绩效状况。同时，对于每个指标的评价标准和数据来源均进行了明确说明，确保评价结果的客观性和可追溯性。</w:t>
      </w:r>
    </w:p>
    <w:p w14:paraId="6E47BAB8">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14:paraId="30060005">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14:paraId="73017763">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14:paraId="56FD6481">
      <w:pPr>
        <w:spacing w:line="560" w:lineRule="exact"/>
        <w:ind w:firstLine="643"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lang w:val="en-US" w:eastAsia="zh-CN"/>
        </w:rPr>
        <w:t>2.</w:t>
      </w:r>
      <w:r>
        <w:rPr>
          <w:rFonts w:hint="default" w:ascii="Times New Roman" w:hAnsi="Times New Roman" w:eastAsia="仿宋_GB2312" w:cs="Times New Roman"/>
          <w:b/>
          <w:bCs/>
          <w:sz w:val="32"/>
          <w:szCs w:val="32"/>
        </w:rPr>
        <w:t>绩效评价的目的</w:t>
      </w:r>
    </w:p>
    <w:p w14:paraId="4A05E6C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14:paraId="3187A1F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w:t>
      </w:r>
      <w:r>
        <w:rPr>
          <w:rFonts w:hint="eastAsia" w:eastAsia="仿宋_GB2312" w:cs="Times New Roman"/>
          <w:sz w:val="32"/>
          <w:szCs w:val="32"/>
          <w:highlight w:val="none"/>
          <w:lang w:val="en-US" w:eastAsia="zh-CN"/>
        </w:rPr>
        <w:t>多个</w:t>
      </w:r>
      <w:r>
        <w:rPr>
          <w:rFonts w:hint="default" w:ascii="Times New Roman" w:hAnsi="Times New Roman" w:eastAsia="仿宋_GB2312" w:cs="Times New Roman"/>
          <w:sz w:val="32"/>
          <w:szCs w:val="32"/>
          <w:highlight w:val="none"/>
        </w:rPr>
        <w:t>社会效益指标，为项目后续的改进与优化提供科学依据。</w:t>
      </w:r>
    </w:p>
    <w:p w14:paraId="2F44733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14:paraId="753B14E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14:paraId="5F51AD6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14:paraId="4D91154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14:paraId="03AE9C5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14:paraId="6E43433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14:paraId="09067A0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14:paraId="2110410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14:paraId="522829E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green"/>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14:paraId="0C61BE65">
      <w:pPr>
        <w:pStyle w:val="10"/>
        <w:widowControl w:val="0"/>
        <w:spacing w:before="0" w:after="0" w:line="560" w:lineRule="exact"/>
        <w:ind w:firstLine="643" w:firstLineChars="200"/>
        <w:jc w:val="both"/>
        <w:outlineLvl w:val="9"/>
        <w:rPr>
          <w:rFonts w:hint="default" w:ascii="Times New Roman" w:hAnsi="Times New Roman" w:eastAsia="仿宋_GB2312" w:cs="Times New Roman"/>
          <w:b/>
          <w:bCs/>
        </w:rPr>
      </w:pPr>
      <w:r>
        <w:rPr>
          <w:rFonts w:hint="default" w:ascii="Times New Roman" w:hAnsi="Times New Roman" w:eastAsia="仿宋_GB2312" w:cs="Times New Roman"/>
          <w:b/>
          <w:bCs/>
          <w:lang w:val="en-US" w:eastAsia="zh-CN"/>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rPr>
        <w:t>绩效评价的对象</w:t>
      </w:r>
    </w:p>
    <w:p w14:paraId="64E69A45">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highlight w:val="none"/>
        </w:rPr>
        <w:t>本项目预算绩效评价报告的评价对象是2024年自治区安全生产及应急专项资金及其预算执行情况。该项目由新疆维吾尔自治区应急管理厅负责实施，旨在加强应急管理、安全生产、防灾减灾宣传、教育、法规标准等工作，持续开展重大公共安全事故隐患排查治理，加大重点行业领域安全监管，增强应急管理综合监管执法效能；有效保障安全生产综合基地正常运转；开展综合应急演练，提升安全生产、自然灾害应急救援能力；持续推进应急指挥信息化建设，持续推进自治区应急管理体系和能力现代化建设，保障自治区安全生产形势持续稳定。项目预算涵盖从</w:t>
      </w:r>
      <w:r>
        <w:rPr>
          <w:rFonts w:hint="eastAsia" w:ascii="Times New Roman" w:hAnsi="Times New Roman" w:eastAsia="仿宋_GB2312" w:cs="Times New Roman"/>
          <w:b w:val="0"/>
          <w:bCs w:val="0"/>
          <w:highlight w:val="none"/>
          <w:lang w:val="en-US" w:eastAsia="zh-CN"/>
        </w:rPr>
        <w:t>2024年1月1日</w:t>
      </w:r>
      <w:r>
        <w:rPr>
          <w:rFonts w:hint="default" w:ascii="Times New Roman" w:hAnsi="Times New Roman" w:eastAsia="仿宋_GB2312" w:cs="Times New Roman"/>
          <w:b w:val="0"/>
          <w:bCs w:val="0"/>
          <w:highlight w:val="none"/>
        </w:rPr>
        <w:t>至</w:t>
      </w:r>
      <w:r>
        <w:rPr>
          <w:rFonts w:hint="eastAsia" w:ascii="Times New Roman" w:hAnsi="Times New Roman" w:eastAsia="仿宋_GB2312" w:cs="Times New Roman"/>
          <w:b w:val="0"/>
          <w:bCs w:val="0"/>
          <w:highlight w:val="none"/>
          <w:lang w:val="en-US" w:eastAsia="zh-CN"/>
        </w:rPr>
        <w:t>2024年12月31日</w:t>
      </w:r>
      <w:r>
        <w:rPr>
          <w:rFonts w:hint="default" w:ascii="Times New Roman" w:hAnsi="Times New Roman" w:eastAsia="仿宋_GB2312" w:cs="Times New Roman"/>
          <w:b w:val="0"/>
          <w:bCs w:val="0"/>
          <w:highlight w:val="none"/>
        </w:rPr>
        <w:t>的全部资金投入与支出，涉及资金总额为</w:t>
      </w:r>
      <w:r>
        <w:rPr>
          <w:rFonts w:hint="eastAsia" w:ascii="Times New Roman" w:hAnsi="Times New Roman" w:eastAsia="仿宋_GB2312" w:cs="Times New Roman"/>
          <w:b w:val="0"/>
          <w:bCs w:val="0"/>
          <w:highlight w:val="none"/>
          <w:lang w:val="en-US" w:eastAsia="zh-CN"/>
        </w:rPr>
        <w:t>4300</w:t>
      </w:r>
      <w:r>
        <w:rPr>
          <w:rFonts w:hint="default" w:ascii="Times New Roman" w:hAnsi="Times New Roman" w:eastAsia="仿宋_GB2312" w:cs="Times New Roman"/>
          <w:b w:val="0"/>
          <w:bCs w:val="0"/>
          <w:highlight w:val="none"/>
          <w:lang w:val="en-US" w:eastAsia="zh-CN"/>
        </w:rPr>
        <w:t>万</w:t>
      </w:r>
      <w:r>
        <w:rPr>
          <w:rFonts w:hint="default" w:ascii="Times New Roman" w:hAnsi="Times New Roman" w:eastAsia="仿宋_GB2312" w:cs="Times New Roman"/>
          <w:b w:val="0"/>
          <w:bCs w:val="0"/>
          <w:highlight w:val="none"/>
        </w:rPr>
        <w:t>元。</w:t>
      </w:r>
    </w:p>
    <w:p w14:paraId="324B40BD">
      <w:pPr>
        <w:pStyle w:val="10"/>
        <w:widowControl w:val="0"/>
        <w:spacing w:before="0" w:after="0" w:line="560" w:lineRule="exact"/>
        <w:ind w:firstLine="643" w:firstLineChars="200"/>
        <w:jc w:val="both"/>
        <w:outlineLvl w:val="9"/>
        <w:rPr>
          <w:rFonts w:hint="default" w:ascii="Times New Roman" w:hAnsi="Times New Roman" w:eastAsia="仿宋_GB2312" w:cs="Times New Roman"/>
          <w:b/>
          <w:bCs/>
        </w:rPr>
      </w:pPr>
      <w:r>
        <w:rPr>
          <w:rFonts w:hint="default" w:ascii="Times New Roman" w:hAnsi="Times New Roman" w:eastAsia="仿宋_GB2312" w:cs="Times New Roman"/>
          <w:b/>
          <w:bCs/>
          <w:lang w:val="en-US" w:eastAsia="zh-CN"/>
        </w:rPr>
        <w:t>4.</w:t>
      </w:r>
      <w:r>
        <w:rPr>
          <w:rFonts w:hint="default" w:ascii="Times New Roman" w:hAnsi="Times New Roman" w:eastAsia="仿宋_GB2312" w:cs="Times New Roman"/>
          <w:b/>
          <w:bCs/>
        </w:rPr>
        <w:t>绩效评价的范围</w:t>
      </w:r>
    </w:p>
    <w:p w14:paraId="3F83EA6E">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本项目预算绩效评价报告的评价范围广泛而全面，涵盖了从项目立项至评价时点期间的所有关键预算活动和财务流程。具体而言，评价范围包括但不限于以下几个方面：</w:t>
      </w:r>
    </w:p>
    <w:p w14:paraId="19EB23D8">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项目预算编制与执行：全面审视项目预算的编制依据、合理性、科学性以及实际执行情况，包括预算调整的原因和效果。</w:t>
      </w:r>
    </w:p>
    <w:p w14:paraId="267E8AEF">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资金管理：深入分析项目资金的分配、使用和监管情况，确保资金使用的合规性、高效性和透明度。</w:t>
      </w:r>
    </w:p>
    <w:p w14:paraId="19E01CD2">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项目实施进度与产出：评估项目是否按照既定计划顺利推进，各项任务是否按时完成，以及项目产出的数量、质量和时效性是否符合预期。</w:t>
      </w:r>
    </w:p>
    <w:p w14:paraId="1E59BB39">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社会</w:t>
      </w:r>
      <w:r>
        <w:rPr>
          <w:rFonts w:hint="default" w:ascii="Times New Roman" w:hAnsi="Times New Roman" w:eastAsia="仿宋_GB2312" w:cs="Times New Roman"/>
          <w:b w:val="0"/>
          <w:bCs w:val="0"/>
          <w:highlight w:val="none"/>
          <w:lang w:eastAsia="zh-CN"/>
        </w:rPr>
        <w:t>、</w:t>
      </w:r>
      <w:r>
        <w:rPr>
          <w:rFonts w:hint="eastAsia" w:ascii="Times New Roman" w:hAnsi="Times New Roman" w:eastAsia="仿宋_GB2312" w:cs="Times New Roman"/>
          <w:b w:val="0"/>
          <w:bCs w:val="0"/>
          <w:highlight w:val="none"/>
          <w:lang w:val="en-US" w:eastAsia="zh-CN"/>
        </w:rPr>
        <w:t>生态</w:t>
      </w:r>
      <w:r>
        <w:rPr>
          <w:rFonts w:hint="default" w:ascii="Times New Roman" w:hAnsi="Times New Roman" w:eastAsia="仿宋_GB2312" w:cs="Times New Roman"/>
          <w:b w:val="0"/>
          <w:bCs w:val="0"/>
          <w:highlight w:val="none"/>
          <w:lang w:val="en-US" w:eastAsia="zh-CN"/>
        </w:rPr>
        <w:t>等</w:t>
      </w:r>
      <w:r>
        <w:rPr>
          <w:rFonts w:hint="default" w:ascii="Times New Roman" w:hAnsi="Times New Roman" w:eastAsia="仿宋_GB2312" w:cs="Times New Roman"/>
          <w:b w:val="0"/>
          <w:bCs w:val="0"/>
          <w:highlight w:val="none"/>
        </w:rPr>
        <w:t>影响：考察项目对社会、</w:t>
      </w:r>
      <w:r>
        <w:rPr>
          <w:rFonts w:hint="eastAsia" w:ascii="Times New Roman" w:hAnsi="Times New Roman" w:eastAsia="仿宋_GB2312" w:cs="Times New Roman"/>
          <w:b w:val="0"/>
          <w:bCs w:val="0"/>
          <w:highlight w:val="none"/>
          <w:lang w:val="en-US" w:eastAsia="zh-CN"/>
        </w:rPr>
        <w:t>生态</w:t>
      </w:r>
      <w:r>
        <w:rPr>
          <w:rFonts w:hint="default" w:ascii="Times New Roman" w:hAnsi="Times New Roman" w:eastAsia="仿宋_GB2312" w:cs="Times New Roman"/>
          <w:b w:val="0"/>
          <w:bCs w:val="0"/>
          <w:highlight w:val="none"/>
        </w:rPr>
        <w:t>、经济等方面的综合影响。</w:t>
      </w:r>
    </w:p>
    <w:p w14:paraId="07793574">
      <w:pPr>
        <w:spacing w:line="560" w:lineRule="exact"/>
        <w:ind w:firstLine="643" w:firstLineChars="200"/>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14:paraId="48E398F4">
      <w:pPr>
        <w:pStyle w:val="10"/>
        <w:widowControl w:val="0"/>
        <w:spacing w:before="0" w:after="0" w:line="560" w:lineRule="exact"/>
        <w:ind w:firstLine="643"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bCs/>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rPr>
        <w:t>绩效评价原则</w:t>
      </w:r>
    </w:p>
    <w:p w14:paraId="5AC985B3">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本次项目绩效评价遵循以下基本原则：</w:t>
      </w:r>
    </w:p>
    <w:p w14:paraId="3321091D">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（1）科学公正。绩效评价应当运用科学合理的方法，按照规范的程序，对项目绩效进行客观、公正的反映。</w:t>
      </w:r>
    </w:p>
    <w:p w14:paraId="6E20F725">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（2）统筹兼顾。单位自评、部门评价和财政评价应职责明确，各有侧重，相互衔接。单位自评应由项目单位自主实施，即“谁支出、谁自评”。部门评价和财政评价应在单位自评的基础上开展。</w:t>
      </w:r>
    </w:p>
    <w:p w14:paraId="16346F89">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14:paraId="5CDA7C09">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14:paraId="34D246A9">
      <w:pPr>
        <w:pStyle w:val="10"/>
        <w:widowControl w:val="0"/>
        <w:spacing w:before="0" w:after="0" w:line="560" w:lineRule="exact"/>
        <w:ind w:firstLine="643" w:firstLineChars="200"/>
        <w:jc w:val="both"/>
        <w:outlineLvl w:val="9"/>
        <w:rPr>
          <w:rFonts w:hint="default" w:ascii="Times New Roman" w:hAnsi="Times New Roman" w:eastAsia="仿宋_GB2312" w:cs="Times New Roman"/>
          <w:b/>
          <w:bCs/>
        </w:rPr>
      </w:pPr>
      <w:r>
        <w:rPr>
          <w:rFonts w:hint="default" w:ascii="Times New Roman" w:hAnsi="Times New Roman" w:eastAsia="仿宋_GB2312" w:cs="Times New Roman"/>
          <w:b/>
          <w:bCs/>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rPr>
        <w:t>评价指标体系</w:t>
      </w:r>
    </w:p>
    <w:p w14:paraId="3AE91BB1">
      <w:pPr>
        <w:spacing w:line="560" w:lineRule="exact"/>
        <w:ind w:firstLine="708" w:firstLineChars="200"/>
        <w:rPr>
          <w:rFonts w:hint="default" w:ascii="Times New Roman" w:hAnsi="Times New Roman"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绩效评价框架是开展绩效评价的核心。绩效评价框架包括评价准则、关键评价问题、评价指标、数据来源、数据收集方法等。指标体系建立过程如下：</w:t>
      </w:r>
    </w:p>
    <w:p w14:paraId="1D02F596">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（1）确定评价指标</w:t>
      </w:r>
    </w:p>
    <w:p w14:paraId="3EC09052">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4ADEEF27">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（2）确定权重</w:t>
      </w:r>
    </w:p>
    <w:p w14:paraId="74E07D02">
      <w:pPr>
        <w:spacing w:line="560" w:lineRule="exact"/>
        <w:ind w:firstLine="708" w:firstLineChars="200"/>
        <w:rPr>
          <w:rFonts w:hint="default" w:ascii="Times New Roman" w:hAnsi="Times New Roman" w:eastAsia="仿宋_GB2312" w:cs="Times New Roman"/>
          <w:color w:val="FF0000"/>
          <w:spacing w:val="17"/>
          <w:sz w:val="32"/>
          <w:szCs w:val="32"/>
          <w:lang w:eastAsia="zh-CN"/>
        </w:rPr>
      </w:pPr>
      <w:r>
        <w:rPr>
          <w:rFonts w:hint="default" w:ascii="Times New Roman" w:hAnsi="Times New Roman" w:eastAsia="仿宋_GB2312" w:cs="Times New Roman"/>
          <w:color w:val="000000"/>
          <w:spacing w:val="17"/>
          <w:sz w:val="32"/>
          <w:szCs w:val="32"/>
        </w:rPr>
        <w:t>确定各个指标相对于项目总体绩效的权重分值。在绩效评价指标体系中，项目决策权重为20分，项目过程权重为20分，项目产出权重为40分，项目效益权重为20分。</w:t>
      </w:r>
    </w:p>
    <w:p w14:paraId="6FA1C4A1">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（3）确定指标标准值</w:t>
      </w:r>
    </w:p>
    <w:p w14:paraId="7CBC3BBF">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指标标准值是绩效评价指标的尺度，既要反映同类项目的先进水平，又要符合项目的实际绩效水平。具体采用计划标准等确定此次绩效评价指标标准值。</w:t>
      </w:r>
    </w:p>
    <w:p w14:paraId="23FDC03B">
      <w:pPr>
        <w:pStyle w:val="10"/>
        <w:spacing w:before="0" w:after="0" w:line="560" w:lineRule="exact"/>
        <w:ind w:firstLine="708" w:firstLineChars="200"/>
        <w:jc w:val="both"/>
        <w:rPr>
          <w:rFonts w:hint="default" w:ascii="Times New Roman" w:hAnsi="Times New Roman" w:eastAsia="仿宋_GB2312" w:cs="Times New Roman"/>
          <w:b w:val="0"/>
          <w:bCs w:val="0"/>
          <w:color w:val="000000"/>
          <w:spacing w:val="17"/>
          <w:kern w:val="2"/>
        </w:rPr>
      </w:pPr>
      <w:r>
        <w:rPr>
          <w:rFonts w:hint="default" w:ascii="Times New Roman" w:hAnsi="Times New Roman" w:eastAsia="仿宋_GB2312" w:cs="Times New Roman"/>
          <w:b w:val="0"/>
          <w:bCs w:val="0"/>
          <w:color w:val="000000"/>
          <w:spacing w:val="17"/>
          <w:kern w:val="2"/>
        </w:rPr>
        <w:t>绩效评价总分值100分，根据综合评分结果，90（含）-100分为优、80（含）-90分为良、60（含）-80分为中、60分以下为差。</w:t>
      </w:r>
    </w:p>
    <w:p w14:paraId="18CE842B">
      <w:pPr>
        <w:pStyle w:val="10"/>
        <w:widowControl w:val="0"/>
        <w:spacing w:before="0" w:after="0" w:line="560" w:lineRule="exact"/>
        <w:ind w:firstLine="708" w:firstLineChars="200"/>
        <w:jc w:val="both"/>
        <w:outlineLvl w:val="9"/>
        <w:rPr>
          <w:rFonts w:hint="default" w:ascii="Times New Roman" w:hAnsi="Times New Roman" w:eastAsia="仿宋_GB2312" w:cs="Times New Roman"/>
          <w:b w:val="0"/>
          <w:bCs w:val="0"/>
          <w:color w:val="000000"/>
          <w:spacing w:val="17"/>
        </w:rPr>
      </w:pPr>
      <w:r>
        <w:rPr>
          <w:rFonts w:hint="default" w:ascii="Times New Roman" w:hAnsi="Times New Roman" w:eastAsia="仿宋_GB2312" w:cs="Times New Roman"/>
          <w:b w:val="0"/>
          <w:bCs w:val="0"/>
          <w:color w:val="000000"/>
          <w:spacing w:val="17"/>
        </w:rPr>
        <w:t>具体评价指标体系详情见附件1</w:t>
      </w:r>
    </w:p>
    <w:p w14:paraId="2C736C5E">
      <w:pPr>
        <w:pStyle w:val="10"/>
        <w:widowControl w:val="0"/>
        <w:spacing w:before="0" w:after="0" w:line="560" w:lineRule="exact"/>
        <w:ind w:firstLine="643" w:firstLineChars="200"/>
        <w:jc w:val="both"/>
        <w:outlineLvl w:val="9"/>
        <w:rPr>
          <w:rFonts w:hint="default" w:ascii="Times New Roman" w:hAnsi="Times New Roman" w:eastAsia="仿宋_GB2312" w:cs="Times New Roman"/>
          <w:b/>
          <w:bCs/>
        </w:rPr>
      </w:pPr>
      <w:r>
        <w:rPr>
          <w:rFonts w:hint="default" w:ascii="Times New Roman" w:hAnsi="Times New Roman" w:eastAsia="仿宋_GB2312" w:cs="Times New Roman"/>
          <w:b/>
          <w:bCs/>
        </w:rPr>
        <w:t>3</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绩效评价方法</w:t>
      </w:r>
    </w:p>
    <w:p w14:paraId="4EF86CD3">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绩效评价从项目决策、项目过程、项目产出、项目效益四个维度进行评价。评价对象为项目目标实施情况，  评价核心为资金的支出完成情况和项目的产出效益。</w:t>
      </w:r>
    </w:p>
    <w:p w14:paraId="4D549DA7">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14:paraId="4440403D">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w:t>
      </w:r>
      <w:r>
        <w:rPr>
          <w:rFonts w:hint="eastAsia" w:eastAsia="仿宋_GB2312" w:cs="Times New Roman"/>
          <w:color w:val="000000"/>
          <w:spacing w:val="17"/>
          <w:sz w:val="32"/>
          <w:szCs w:val="32"/>
          <w:highlight w:val="none"/>
          <w:lang w:val="en-US" w:eastAsia="zh-CN"/>
        </w:rPr>
        <w:t>一</w:t>
      </w:r>
      <w:r>
        <w:rPr>
          <w:rFonts w:hint="default" w:ascii="Times New Roman" w:hAnsi="Times New Roman" w:eastAsia="仿宋_GB2312" w:cs="Times New Roman"/>
          <w:color w:val="000000"/>
          <w:spacing w:val="17"/>
          <w:sz w:val="32"/>
          <w:szCs w:val="32"/>
          <w:highlight w:val="none"/>
        </w:rPr>
        <w:t>）比较法。是指将实施情况与绩效目标、历史情况、不同部门和地区同类支出情况进行比较的方法。</w:t>
      </w:r>
    </w:p>
    <w:p w14:paraId="6AFCA546">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w:t>
      </w:r>
      <w:r>
        <w:rPr>
          <w:rFonts w:hint="eastAsia" w:eastAsia="仿宋_GB2312" w:cs="Times New Roman"/>
          <w:color w:val="000000"/>
          <w:spacing w:val="17"/>
          <w:sz w:val="32"/>
          <w:szCs w:val="32"/>
          <w:highlight w:val="none"/>
          <w:lang w:val="en-US" w:eastAsia="zh-CN"/>
        </w:rPr>
        <w:t>二</w:t>
      </w:r>
      <w:r>
        <w:rPr>
          <w:rFonts w:hint="default" w:ascii="Times New Roman" w:hAnsi="Times New Roman" w:eastAsia="仿宋_GB2312" w:cs="Times New Roman"/>
          <w:color w:val="000000"/>
          <w:spacing w:val="17"/>
          <w:sz w:val="32"/>
          <w:szCs w:val="32"/>
          <w:highlight w:val="none"/>
        </w:rPr>
        <w:t>）因素分析法。是指综合分析影响绩效目标实现、实施效果的内外部因素的方法。</w:t>
      </w:r>
    </w:p>
    <w:p w14:paraId="60584C02">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w:t>
      </w:r>
      <w:r>
        <w:rPr>
          <w:rFonts w:hint="eastAsia" w:eastAsia="仿宋_GB2312" w:cs="Times New Roman"/>
          <w:color w:val="000000"/>
          <w:spacing w:val="17"/>
          <w:sz w:val="32"/>
          <w:szCs w:val="32"/>
          <w:highlight w:val="none"/>
          <w:lang w:val="en-US" w:eastAsia="zh-CN"/>
        </w:rPr>
        <w:t>三</w:t>
      </w:r>
      <w:r>
        <w:rPr>
          <w:rFonts w:hint="default" w:ascii="Times New Roman" w:hAnsi="Times New Roman" w:eastAsia="仿宋_GB2312" w:cs="Times New Roman"/>
          <w:color w:val="000000"/>
          <w:spacing w:val="17"/>
          <w:sz w:val="32"/>
          <w:szCs w:val="32"/>
          <w:highlight w:val="none"/>
        </w:rPr>
        <w:t>）公众评判法。是指通过专家评估、公众问卷及抽样调查等方式进行评判的方法。</w:t>
      </w:r>
    </w:p>
    <w:p w14:paraId="57286475">
      <w:pPr>
        <w:pStyle w:val="10"/>
        <w:widowControl w:val="0"/>
        <w:spacing w:before="0" w:after="0" w:line="560" w:lineRule="exact"/>
        <w:ind w:firstLine="643" w:firstLineChars="200"/>
        <w:jc w:val="both"/>
        <w:outlineLvl w:val="9"/>
        <w:rPr>
          <w:rFonts w:hint="default" w:ascii="Times New Roman" w:hAnsi="Times New Roman" w:eastAsia="仿宋_GB2312" w:cs="Times New Roman"/>
          <w:b/>
          <w:bCs/>
        </w:rPr>
      </w:pPr>
      <w:r>
        <w:rPr>
          <w:rFonts w:hint="default" w:ascii="Times New Roman" w:hAnsi="Times New Roman" w:eastAsia="仿宋_GB2312" w:cs="Times New Roman"/>
          <w:b/>
          <w:bCs/>
        </w:rPr>
        <w:t>4</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rPr>
        <w:t>评价标准</w:t>
      </w:r>
    </w:p>
    <w:p w14:paraId="7355B2F0">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绩效评价标准通常包括计划标准、行业标准、历史标准等，用于对绩效指标完成情况进行比较、分析、评价。本次评价主要采用了</w:t>
      </w:r>
      <w:r>
        <w:rPr>
          <w:rFonts w:hint="eastAsia" w:ascii="Times New Roman" w:hAnsi="Times New Roman" w:eastAsia="仿宋_GB2312" w:cs="Times New Roman"/>
          <w:b w:val="0"/>
          <w:bCs w:val="0"/>
          <w:highlight w:val="none"/>
          <w:lang w:val="en-US" w:eastAsia="zh-CN"/>
        </w:rPr>
        <w:t>计划标准和其他</w:t>
      </w:r>
      <w:r>
        <w:rPr>
          <w:rFonts w:hint="default" w:ascii="Times New Roman" w:hAnsi="Times New Roman" w:eastAsia="仿宋_GB2312" w:cs="Times New Roman"/>
          <w:b w:val="0"/>
          <w:bCs w:val="0"/>
        </w:rPr>
        <w:t>标准。</w:t>
      </w:r>
    </w:p>
    <w:p w14:paraId="22653DC3">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1</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计划标准。指以预先制定的目标、计划、预算、定额等作为评价标准。</w:t>
      </w:r>
    </w:p>
    <w:p w14:paraId="48B3EBDD">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2</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财政部门和预算部门确认或认可的其他标准。</w:t>
      </w:r>
    </w:p>
    <w:p w14:paraId="16A6311D">
      <w:pPr>
        <w:pStyle w:val="10"/>
        <w:numPr>
          <w:ilvl w:val="0"/>
          <w:numId w:val="2"/>
        </w:numPr>
        <w:spacing w:before="0" w:after="0" w:line="560" w:lineRule="exact"/>
        <w:ind w:firstLine="711" w:firstLineChars="20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14:paraId="5C2BE59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前期准备与规划</w:t>
      </w:r>
    </w:p>
    <w:p w14:paraId="31FCAA8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14:paraId="3AA1B9B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14:paraId="42502E2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14:paraId="10D6007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14:paraId="5A220F8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14:paraId="264616C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14:paraId="51CCA7B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14:paraId="709F91D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14:paraId="68B7816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44EFADC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14:paraId="5BD08F0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06AC202C">
      <w:pPr>
        <w:numPr>
          <w:ilvl w:val="0"/>
          <w:numId w:val="3"/>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14:paraId="7B419597">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14:paraId="71000528">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本项目的综合评价基于对项目各方面绩效的深入分析与评估。从项目目标的达成情况来看，</w:t>
      </w:r>
      <w:r>
        <w:rPr>
          <w:rFonts w:hint="default" w:ascii="Times New Roman" w:hAnsi="Times New Roman" w:eastAsia="仿宋_GB2312" w:cs="Times New Roman"/>
          <w:color w:val="auto"/>
          <w:sz w:val="32"/>
          <w:szCs w:val="32"/>
          <w:highlight w:val="none"/>
        </w:rPr>
        <w:t>2024年自治区安全生产及应急专项资金</w:t>
      </w:r>
      <w:r>
        <w:rPr>
          <w:rFonts w:hint="default" w:ascii="Times New Roman" w:hAnsi="Times New Roman" w:eastAsia="仿宋_GB2312" w:cs="Times New Roman"/>
          <w:sz w:val="32"/>
          <w:szCs w:val="32"/>
          <w:highlight w:val="none"/>
        </w:rPr>
        <w:t>在保障</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两委三部</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重点会议次数、安全生产重点检查行业数量</w:t>
      </w:r>
      <w:r>
        <w:rPr>
          <w:rFonts w:hint="eastAsia" w:ascii="Times New Roman" w:hAnsi="Times New Roman" w:eastAsia="仿宋_GB2312" w:cs="Times New Roman"/>
          <w:sz w:val="32"/>
          <w:szCs w:val="32"/>
          <w:highlight w:val="none"/>
          <w:lang w:eastAsia="zh-CN"/>
        </w:rPr>
        <w:t>、应急管理“十四五”规划实施进展监测评估数量、应急管理相关执法检查和指导服务覆盖县市区数量</w:t>
      </w:r>
      <w:r>
        <w:rPr>
          <w:rFonts w:hint="default" w:ascii="Times New Roman" w:hAnsi="Times New Roman" w:eastAsia="仿宋_GB2312" w:cs="Times New Roman"/>
          <w:sz w:val="32"/>
          <w:szCs w:val="32"/>
          <w:highlight w:val="none"/>
        </w:rPr>
        <w:t>等方面表现出色，达到了预期的标准与要求。同时，项目也在</w:t>
      </w:r>
      <w:r>
        <w:rPr>
          <w:rFonts w:hint="default" w:ascii="Times New Roman" w:hAnsi="Times New Roman" w:eastAsia="仿宋_GB2312" w:cs="Times New Roman"/>
          <w:color w:val="auto"/>
          <w:sz w:val="32"/>
          <w:szCs w:val="32"/>
          <w:highlight w:val="none"/>
        </w:rPr>
        <w:t>安全生产执法检查</w:t>
      </w:r>
      <w:r>
        <w:rPr>
          <w:rFonts w:hint="eastAsia" w:ascii="Times New Roman" w:hAnsi="Times New Roman" w:eastAsia="仿宋_GB2312" w:cs="Times New Roman"/>
          <w:color w:val="auto"/>
          <w:sz w:val="32"/>
          <w:szCs w:val="32"/>
          <w:highlight w:val="none"/>
          <w:lang w:val="en-US" w:eastAsia="zh-CN"/>
        </w:rPr>
        <w:t>领域</w:t>
      </w:r>
      <w:r>
        <w:rPr>
          <w:rFonts w:hint="default" w:ascii="Times New Roman" w:hAnsi="Times New Roman" w:eastAsia="仿宋_GB2312" w:cs="Times New Roman"/>
          <w:sz w:val="32"/>
          <w:szCs w:val="32"/>
          <w:highlight w:val="none"/>
        </w:rPr>
        <w:t>取得了显著的成效，如安全生产执法检查计划完成率、形成2024年度安全生产监督检查完成情况报告等。</w:t>
      </w:r>
    </w:p>
    <w:p w14:paraId="5D343ED6">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在项目管理方面，新疆维吾尔自治区应急管理厅通过有效的规划、组织与协调，项目得以顺利实施，并在预算与时间上保持了良好的控制。</w:t>
      </w:r>
    </w:p>
    <w:p w14:paraId="7AA1D552">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从项目效益的角度来看，本项目不仅实现了预期的社会效益</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在应急管理能力提升、防范重大安全生产风险</w:t>
      </w:r>
      <w:r>
        <w:rPr>
          <w:rFonts w:hint="default" w:ascii="Times New Roman" w:hAnsi="Times New Roman" w:eastAsia="仿宋_GB2312" w:cs="Times New Roman"/>
          <w:sz w:val="32"/>
          <w:szCs w:val="32"/>
          <w:highlight w:val="none"/>
        </w:rPr>
        <w:t>等方面产生了积极的影响。具体而言，2024年度安全生产监督检查、应急管理</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十四五</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规划实施进展监测等方面的提升，为项目的利益相关者带来了实实在在的利益。</w:t>
      </w:r>
    </w:p>
    <w:p w14:paraId="65871231">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cs="Times New Roman"/>
          <w:highlight w:val="none"/>
        </w:rPr>
      </w:pPr>
      <w:r>
        <w:rPr>
          <w:rFonts w:hint="default" w:ascii="Times New Roman" w:hAnsi="Times New Roman" w:eastAsia="仿宋_GB2312" w:cs="Times New Roman"/>
          <w:sz w:val="32"/>
          <w:szCs w:val="32"/>
          <w:highlight w:val="none"/>
        </w:rPr>
        <w:t>综上所述，2024年自治区安全生产及应急专项资金在绩效评价中表现出色，达到了项目的预期目标，并在多个方面取得了显著的成效。</w:t>
      </w:r>
    </w:p>
    <w:p w14:paraId="54598732">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14:paraId="0AD22873">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default" w:ascii="Times New Roman" w:hAnsi="Times New Roman" w:eastAsia="仿宋_GB2312" w:cs="Times New Roman"/>
          <w:b w:val="0"/>
          <w:bCs w:val="0"/>
          <w:highlight w:val="none"/>
        </w:rPr>
        <w:t>总得分为</w:t>
      </w:r>
      <w:r>
        <w:rPr>
          <w:rFonts w:hint="eastAsia" w:ascii="Times New Roman" w:hAnsi="Times New Roman" w:eastAsia="仿宋_GB2312" w:cs="Times New Roman"/>
          <w:b w:val="0"/>
          <w:bCs w:val="0"/>
          <w:highlight w:val="none"/>
          <w:lang w:val="en-US" w:eastAsia="zh-CN"/>
        </w:rPr>
        <w:t>99.76</w:t>
      </w:r>
      <w:r>
        <w:rPr>
          <w:rFonts w:hint="default" w:ascii="Times New Roman" w:hAnsi="Times New Roman" w:eastAsia="仿宋_GB2312" w:cs="Times New Roman"/>
          <w:b w:val="0"/>
          <w:bCs w:val="0"/>
          <w:highlight w:val="none"/>
        </w:rPr>
        <w:t>分，属于“优”。其中，项目决策类指标权重为20分，得分为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19.76</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98.8</w:t>
      </w:r>
      <w:r>
        <w:rPr>
          <w:rFonts w:hint="default" w:ascii="Times New Roman" w:hAnsi="Times New Roman" w:eastAsia="仿宋_GB2312" w:cs="Times New Roman"/>
          <w:b w:val="0"/>
          <w:bCs w:val="0"/>
          <w:highlight w:val="none"/>
        </w:rPr>
        <w:t>%。项目产出类指标权重为40分，得分为</w:t>
      </w:r>
      <w:r>
        <w:rPr>
          <w:rFonts w:hint="eastAsia" w:ascii="Times New Roman" w:hAnsi="Times New Roman" w:eastAsia="仿宋_GB2312" w:cs="Times New Roman"/>
          <w:b w:val="0"/>
          <w:bCs w:val="0"/>
          <w:highlight w:val="none"/>
          <w:lang w:val="en-US" w:eastAsia="zh-CN"/>
        </w:rPr>
        <w:t>40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%。具体打分情况详见：附件1综合评分表</w:t>
      </w:r>
      <w:r>
        <w:rPr>
          <w:rFonts w:hint="default" w:ascii="Times New Roman" w:hAnsi="Times New Roman" w:eastAsia="仿宋_GB2312" w:cs="Times New Roman"/>
          <w:b w:val="0"/>
          <w:bCs w:val="0"/>
          <w:highlight w:val="none"/>
          <w:lang w:eastAsia="zh-CN"/>
        </w:rPr>
        <w:t>。</w:t>
      </w:r>
    </w:p>
    <w:p w14:paraId="0DA8308E">
      <w:pPr>
        <w:pStyle w:val="10"/>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4"/>
        <w:tblW w:w="4998" w:type="pct"/>
        <w:jc w:val="center"/>
        <w:tblLayout w:type="autofit"/>
        <w:tblCellMar>
          <w:top w:w="0" w:type="dxa"/>
          <w:left w:w="108" w:type="dxa"/>
          <w:bottom w:w="0" w:type="dxa"/>
          <w:right w:w="108" w:type="dxa"/>
        </w:tblCellMar>
      </w:tblPr>
      <w:tblGrid>
        <w:gridCol w:w="2787"/>
        <w:gridCol w:w="1927"/>
        <w:gridCol w:w="2023"/>
        <w:gridCol w:w="2023"/>
      </w:tblGrid>
      <w:tr w14:paraId="28F9F1EC">
        <w:tblPrEx>
          <w:tblCellMar>
            <w:top w:w="0" w:type="dxa"/>
            <w:left w:w="108" w:type="dxa"/>
            <w:bottom w:w="0" w:type="dxa"/>
            <w:right w:w="108" w:type="dxa"/>
          </w:tblCellMar>
        </w:tblPrEx>
        <w:trPr>
          <w:trHeight w:val="90" w:hRule="atLeast"/>
          <w:tblHeader/>
          <w:jc w:val="center"/>
        </w:trPr>
        <w:tc>
          <w:tcPr>
            <w:tcW w:w="1590" w:type="pct"/>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3C69E152">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1099" w:type="pct"/>
            <w:tcBorders>
              <w:top w:val="single" w:color="auto" w:sz="4" w:space="0"/>
              <w:left w:val="nil"/>
              <w:bottom w:val="single" w:color="auto" w:sz="4" w:space="0"/>
              <w:right w:val="single" w:color="auto" w:sz="4" w:space="0"/>
            </w:tcBorders>
            <w:shd w:val="clear" w:color="000000" w:fill="BEBEBE" w:themeFill="background1" w:themeFillShade="BF"/>
            <w:vAlign w:val="center"/>
          </w:tcPr>
          <w:p w14:paraId="02746797">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1154" w:type="pct"/>
            <w:tcBorders>
              <w:top w:val="single" w:color="auto" w:sz="4" w:space="0"/>
              <w:left w:val="nil"/>
              <w:bottom w:val="single" w:color="auto" w:sz="4" w:space="0"/>
              <w:right w:val="single" w:color="auto" w:sz="4" w:space="0"/>
            </w:tcBorders>
            <w:shd w:val="clear" w:color="000000" w:fill="BEBEBE" w:themeFill="background1" w:themeFillShade="BF"/>
            <w:vAlign w:val="center"/>
          </w:tcPr>
          <w:p w14:paraId="15E4DA57">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c>
          <w:tcPr>
            <w:tcW w:w="1154" w:type="pct"/>
            <w:tcBorders>
              <w:top w:val="single" w:color="auto" w:sz="4" w:space="0"/>
              <w:left w:val="nil"/>
              <w:bottom w:val="single" w:color="auto" w:sz="4" w:space="0"/>
              <w:right w:val="single" w:color="auto" w:sz="4" w:space="0"/>
            </w:tcBorders>
            <w:shd w:val="clear" w:color="000000" w:fill="BEBEBE" w:themeFill="background1" w:themeFillShade="BF"/>
            <w:vAlign w:val="center"/>
          </w:tcPr>
          <w:p w14:paraId="296F2C81">
            <w:pPr>
              <w:jc w:val="center"/>
              <w:rPr>
                <w:rFonts w:hint="eastAsia" w:ascii="Times New Roman" w:hAnsi="Times New Roman" w:eastAsia="仿宋_GB2312" w:cs="Times New Roman"/>
                <w:b/>
                <w:bCs/>
                <w:color w:val="000000"/>
                <w:sz w:val="21"/>
                <w:szCs w:val="21"/>
                <w:lang w:val="en-US" w:eastAsia="zh-CN"/>
              </w:rPr>
            </w:pPr>
            <w:r>
              <w:rPr>
                <w:rFonts w:hint="eastAsia" w:ascii="Times New Roman" w:hAnsi="Times New Roman" w:eastAsia="仿宋_GB2312" w:cs="Times New Roman"/>
                <w:b/>
                <w:bCs/>
                <w:color w:val="000000"/>
                <w:sz w:val="21"/>
                <w:szCs w:val="21"/>
                <w:lang w:val="en-US" w:eastAsia="zh-CN"/>
              </w:rPr>
              <w:t>得分率</w:t>
            </w:r>
          </w:p>
        </w:tc>
      </w:tr>
      <w:tr w14:paraId="0F6F05CC">
        <w:tblPrEx>
          <w:tblCellMar>
            <w:top w:w="0" w:type="dxa"/>
            <w:left w:w="108" w:type="dxa"/>
            <w:bottom w:w="0" w:type="dxa"/>
            <w:right w:w="108" w:type="dxa"/>
          </w:tblCellMar>
        </w:tblPrEx>
        <w:trPr>
          <w:trHeight w:val="340" w:hRule="atLeast"/>
          <w:jc w:val="center"/>
        </w:trPr>
        <w:tc>
          <w:tcPr>
            <w:tcW w:w="1590" w:type="pct"/>
            <w:tcBorders>
              <w:top w:val="nil"/>
              <w:left w:val="single" w:color="auto" w:sz="4" w:space="0"/>
              <w:bottom w:val="single" w:color="auto" w:sz="4" w:space="0"/>
              <w:right w:val="single" w:color="auto" w:sz="4" w:space="0"/>
            </w:tcBorders>
            <w:shd w:val="clear" w:color="auto" w:fill="auto"/>
            <w:vAlign w:val="center"/>
          </w:tcPr>
          <w:p w14:paraId="7ECC2743">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1099" w:type="pct"/>
            <w:tcBorders>
              <w:top w:val="nil"/>
              <w:left w:val="nil"/>
              <w:bottom w:val="single" w:color="auto" w:sz="4" w:space="0"/>
              <w:right w:val="single" w:color="auto" w:sz="4" w:space="0"/>
            </w:tcBorders>
            <w:shd w:val="clear" w:color="auto" w:fill="auto"/>
            <w:vAlign w:val="center"/>
          </w:tcPr>
          <w:p w14:paraId="2BE7F794">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1154" w:type="pct"/>
            <w:tcBorders>
              <w:top w:val="nil"/>
              <w:left w:val="nil"/>
              <w:bottom w:val="single" w:color="auto" w:sz="4" w:space="0"/>
              <w:right w:val="single" w:color="auto" w:sz="4" w:space="0"/>
            </w:tcBorders>
            <w:shd w:val="clear" w:color="auto" w:fill="auto"/>
            <w:vAlign w:val="center"/>
          </w:tcPr>
          <w:p w14:paraId="7BBDC4C6">
            <w:pPr>
              <w:jc w:val="center"/>
              <w:rPr>
                <w:rFonts w:hint="default" w:ascii="Times New Roman" w:hAnsi="Times New Roman" w:eastAsia="仿宋_GB2312" w:cs="Times New Roman"/>
                <w:color w:val="000000"/>
                <w:sz w:val="21"/>
                <w:szCs w:val="21"/>
                <w:lang w:val="en-US" w:eastAsia="zh-CN"/>
              </w:rPr>
            </w:pPr>
            <w:r>
              <w:rPr>
                <w:rFonts w:hint="eastAsia" w:ascii="Times New Roman" w:hAnsi="Times New Roman" w:eastAsia="仿宋_GB2312" w:cs="Times New Roman"/>
                <w:color w:val="000000"/>
                <w:sz w:val="21"/>
                <w:szCs w:val="21"/>
                <w:lang w:val="en-US" w:eastAsia="zh-CN"/>
              </w:rPr>
              <w:t>20</w:t>
            </w:r>
          </w:p>
        </w:tc>
        <w:tc>
          <w:tcPr>
            <w:tcW w:w="1154" w:type="pct"/>
            <w:tcBorders>
              <w:top w:val="nil"/>
              <w:left w:val="nil"/>
              <w:bottom w:val="single" w:color="auto" w:sz="4" w:space="0"/>
              <w:right w:val="single" w:color="auto" w:sz="4" w:space="0"/>
            </w:tcBorders>
            <w:shd w:val="clear" w:color="auto" w:fill="auto"/>
            <w:vAlign w:val="center"/>
          </w:tcPr>
          <w:p w14:paraId="4E0E0EDA">
            <w:pPr>
              <w:jc w:val="center"/>
              <w:rPr>
                <w:rFonts w:hint="default" w:ascii="Times New Roman" w:hAnsi="Times New Roman" w:eastAsia="仿宋_GB2312" w:cs="Times New Roman"/>
                <w:color w:val="000000"/>
                <w:sz w:val="21"/>
                <w:szCs w:val="21"/>
                <w:lang w:val="en-US" w:eastAsia="zh-CN"/>
              </w:rPr>
            </w:pPr>
            <w:r>
              <w:rPr>
                <w:rFonts w:hint="eastAsia" w:ascii="Times New Roman" w:hAnsi="Times New Roman" w:eastAsia="仿宋_GB2312" w:cs="Times New Roman"/>
                <w:color w:val="000000"/>
                <w:sz w:val="21"/>
                <w:szCs w:val="21"/>
                <w:lang w:val="en-US" w:eastAsia="zh-CN"/>
              </w:rPr>
              <w:t>100%</w:t>
            </w:r>
          </w:p>
        </w:tc>
      </w:tr>
      <w:tr w14:paraId="0F91EAEA">
        <w:tblPrEx>
          <w:tblCellMar>
            <w:top w:w="0" w:type="dxa"/>
            <w:left w:w="108" w:type="dxa"/>
            <w:bottom w:w="0" w:type="dxa"/>
            <w:right w:w="108" w:type="dxa"/>
          </w:tblCellMar>
        </w:tblPrEx>
        <w:trPr>
          <w:trHeight w:val="340" w:hRule="atLeast"/>
          <w:jc w:val="center"/>
        </w:trPr>
        <w:tc>
          <w:tcPr>
            <w:tcW w:w="1590" w:type="pct"/>
            <w:tcBorders>
              <w:top w:val="nil"/>
              <w:left w:val="single" w:color="auto" w:sz="4" w:space="0"/>
              <w:bottom w:val="single" w:color="auto" w:sz="4" w:space="0"/>
              <w:right w:val="single" w:color="auto" w:sz="4" w:space="0"/>
            </w:tcBorders>
            <w:shd w:val="clear" w:color="auto" w:fill="auto"/>
            <w:vAlign w:val="center"/>
          </w:tcPr>
          <w:p w14:paraId="2891ECBD">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1099" w:type="pct"/>
            <w:tcBorders>
              <w:top w:val="nil"/>
              <w:left w:val="nil"/>
              <w:bottom w:val="single" w:color="auto" w:sz="4" w:space="0"/>
              <w:right w:val="single" w:color="auto" w:sz="4" w:space="0"/>
            </w:tcBorders>
            <w:shd w:val="clear" w:color="auto" w:fill="auto"/>
            <w:vAlign w:val="center"/>
          </w:tcPr>
          <w:p w14:paraId="6671F305">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1154" w:type="pct"/>
            <w:tcBorders>
              <w:top w:val="nil"/>
              <w:left w:val="nil"/>
              <w:bottom w:val="single" w:color="auto" w:sz="4" w:space="0"/>
              <w:right w:val="single" w:color="auto" w:sz="4" w:space="0"/>
            </w:tcBorders>
            <w:shd w:val="clear" w:color="auto" w:fill="auto"/>
            <w:vAlign w:val="center"/>
          </w:tcPr>
          <w:p w14:paraId="4F78E977">
            <w:pPr>
              <w:jc w:val="center"/>
              <w:rPr>
                <w:rFonts w:hint="default" w:ascii="Times New Roman" w:hAnsi="Times New Roman" w:eastAsia="仿宋_GB2312" w:cs="Times New Roman"/>
                <w:color w:val="000000"/>
                <w:sz w:val="21"/>
                <w:szCs w:val="21"/>
                <w:lang w:val="en-US" w:eastAsia="zh-CN"/>
              </w:rPr>
            </w:pPr>
            <w:r>
              <w:rPr>
                <w:rFonts w:hint="eastAsia" w:ascii="Times New Roman" w:hAnsi="Times New Roman" w:eastAsia="仿宋_GB2312" w:cs="Times New Roman"/>
                <w:color w:val="000000"/>
                <w:sz w:val="21"/>
                <w:szCs w:val="21"/>
                <w:lang w:val="en-US" w:eastAsia="zh-CN"/>
              </w:rPr>
              <w:t>19.76</w:t>
            </w:r>
          </w:p>
        </w:tc>
        <w:tc>
          <w:tcPr>
            <w:tcW w:w="1154" w:type="pct"/>
            <w:tcBorders>
              <w:top w:val="nil"/>
              <w:left w:val="nil"/>
              <w:bottom w:val="single" w:color="auto" w:sz="4" w:space="0"/>
              <w:right w:val="single" w:color="auto" w:sz="4" w:space="0"/>
            </w:tcBorders>
            <w:shd w:val="clear" w:color="auto" w:fill="auto"/>
            <w:vAlign w:val="center"/>
          </w:tcPr>
          <w:p w14:paraId="286F0E6B">
            <w:pPr>
              <w:jc w:val="center"/>
              <w:rPr>
                <w:rFonts w:hint="default" w:ascii="Times New Roman" w:hAnsi="Times New Roman" w:eastAsia="仿宋_GB2312" w:cs="Times New Roman"/>
                <w:color w:val="000000"/>
                <w:sz w:val="21"/>
                <w:szCs w:val="21"/>
                <w:lang w:val="en-US" w:eastAsia="zh-CN"/>
              </w:rPr>
            </w:pPr>
            <w:r>
              <w:rPr>
                <w:rFonts w:hint="eastAsia" w:ascii="Times New Roman" w:hAnsi="Times New Roman" w:eastAsia="仿宋_GB2312" w:cs="Times New Roman"/>
                <w:color w:val="000000"/>
                <w:sz w:val="21"/>
                <w:szCs w:val="21"/>
                <w:lang w:val="en-US" w:eastAsia="zh-CN"/>
              </w:rPr>
              <w:t>98.8%</w:t>
            </w:r>
          </w:p>
        </w:tc>
      </w:tr>
      <w:tr w14:paraId="1C5E97E9">
        <w:tblPrEx>
          <w:tblCellMar>
            <w:top w:w="0" w:type="dxa"/>
            <w:left w:w="108" w:type="dxa"/>
            <w:bottom w:w="0" w:type="dxa"/>
            <w:right w:w="108" w:type="dxa"/>
          </w:tblCellMar>
        </w:tblPrEx>
        <w:trPr>
          <w:trHeight w:val="340" w:hRule="atLeast"/>
          <w:jc w:val="center"/>
        </w:trPr>
        <w:tc>
          <w:tcPr>
            <w:tcW w:w="1590" w:type="pct"/>
            <w:tcBorders>
              <w:top w:val="nil"/>
              <w:left w:val="single" w:color="auto" w:sz="4" w:space="0"/>
              <w:bottom w:val="single" w:color="auto" w:sz="4" w:space="0"/>
              <w:right w:val="single" w:color="auto" w:sz="4" w:space="0"/>
            </w:tcBorders>
            <w:shd w:val="clear" w:color="auto" w:fill="auto"/>
            <w:vAlign w:val="center"/>
          </w:tcPr>
          <w:p w14:paraId="5B6ACF1C">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1099" w:type="pct"/>
            <w:tcBorders>
              <w:top w:val="nil"/>
              <w:left w:val="nil"/>
              <w:bottom w:val="single" w:color="auto" w:sz="4" w:space="0"/>
              <w:right w:val="single" w:color="auto" w:sz="4" w:space="0"/>
            </w:tcBorders>
            <w:shd w:val="clear" w:color="auto" w:fill="auto"/>
            <w:vAlign w:val="center"/>
          </w:tcPr>
          <w:p w14:paraId="41CBF47B">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1154" w:type="pct"/>
            <w:tcBorders>
              <w:top w:val="nil"/>
              <w:left w:val="nil"/>
              <w:bottom w:val="single" w:color="auto" w:sz="4" w:space="0"/>
              <w:right w:val="single" w:color="auto" w:sz="4" w:space="0"/>
            </w:tcBorders>
            <w:shd w:val="clear" w:color="auto" w:fill="auto"/>
            <w:vAlign w:val="center"/>
          </w:tcPr>
          <w:p w14:paraId="6F3CC7FC">
            <w:pPr>
              <w:jc w:val="center"/>
              <w:rPr>
                <w:rFonts w:hint="default" w:ascii="Times New Roman" w:hAnsi="Times New Roman" w:eastAsia="仿宋_GB2312" w:cs="Times New Roman"/>
                <w:color w:val="000000"/>
                <w:sz w:val="21"/>
                <w:szCs w:val="21"/>
                <w:lang w:val="en-US" w:eastAsia="zh-CN"/>
              </w:rPr>
            </w:pPr>
            <w:r>
              <w:rPr>
                <w:rFonts w:hint="eastAsia" w:ascii="Times New Roman" w:hAnsi="Times New Roman" w:eastAsia="仿宋_GB2312" w:cs="Times New Roman"/>
                <w:color w:val="000000"/>
                <w:sz w:val="21"/>
                <w:szCs w:val="21"/>
                <w:lang w:val="en-US" w:eastAsia="zh-CN"/>
              </w:rPr>
              <w:t>40</w:t>
            </w:r>
          </w:p>
        </w:tc>
        <w:tc>
          <w:tcPr>
            <w:tcW w:w="1154" w:type="pct"/>
            <w:tcBorders>
              <w:top w:val="nil"/>
              <w:left w:val="nil"/>
              <w:bottom w:val="single" w:color="auto" w:sz="4" w:space="0"/>
              <w:right w:val="single" w:color="auto" w:sz="4" w:space="0"/>
            </w:tcBorders>
            <w:shd w:val="clear" w:color="auto" w:fill="auto"/>
            <w:vAlign w:val="center"/>
          </w:tcPr>
          <w:p w14:paraId="60AC4EC6">
            <w:pPr>
              <w:jc w:val="center"/>
              <w:rPr>
                <w:rFonts w:hint="default" w:ascii="Times New Roman" w:hAnsi="Times New Roman" w:eastAsia="仿宋_GB2312" w:cs="Times New Roman"/>
                <w:color w:val="000000"/>
                <w:sz w:val="21"/>
                <w:szCs w:val="21"/>
                <w:lang w:val="en-US" w:eastAsia="zh-CN"/>
              </w:rPr>
            </w:pPr>
            <w:r>
              <w:rPr>
                <w:rFonts w:hint="eastAsia" w:ascii="Times New Roman" w:hAnsi="Times New Roman" w:eastAsia="仿宋_GB2312" w:cs="Times New Roman"/>
                <w:color w:val="000000"/>
                <w:sz w:val="21"/>
                <w:szCs w:val="21"/>
                <w:lang w:val="en-US" w:eastAsia="zh-CN"/>
              </w:rPr>
              <w:t>100%</w:t>
            </w:r>
          </w:p>
        </w:tc>
      </w:tr>
      <w:tr w14:paraId="1AF0D2B7">
        <w:tblPrEx>
          <w:tblCellMar>
            <w:top w:w="0" w:type="dxa"/>
            <w:left w:w="108" w:type="dxa"/>
            <w:bottom w:w="0" w:type="dxa"/>
            <w:right w:w="108" w:type="dxa"/>
          </w:tblCellMar>
        </w:tblPrEx>
        <w:trPr>
          <w:trHeight w:val="340" w:hRule="atLeast"/>
          <w:jc w:val="center"/>
        </w:trPr>
        <w:tc>
          <w:tcPr>
            <w:tcW w:w="1590" w:type="pct"/>
            <w:tcBorders>
              <w:top w:val="nil"/>
              <w:left w:val="single" w:color="auto" w:sz="4" w:space="0"/>
              <w:bottom w:val="single" w:color="auto" w:sz="4" w:space="0"/>
              <w:right w:val="single" w:color="auto" w:sz="4" w:space="0"/>
            </w:tcBorders>
            <w:shd w:val="clear" w:color="auto" w:fill="auto"/>
            <w:vAlign w:val="center"/>
          </w:tcPr>
          <w:p w14:paraId="45C36318">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1099" w:type="pct"/>
            <w:tcBorders>
              <w:top w:val="nil"/>
              <w:left w:val="nil"/>
              <w:bottom w:val="single" w:color="auto" w:sz="4" w:space="0"/>
              <w:right w:val="single" w:color="auto" w:sz="4" w:space="0"/>
            </w:tcBorders>
            <w:shd w:val="clear" w:color="auto" w:fill="auto"/>
            <w:vAlign w:val="center"/>
          </w:tcPr>
          <w:p w14:paraId="2F0F35F0">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1154" w:type="pct"/>
            <w:tcBorders>
              <w:top w:val="nil"/>
              <w:left w:val="nil"/>
              <w:bottom w:val="single" w:color="auto" w:sz="4" w:space="0"/>
              <w:right w:val="single" w:color="auto" w:sz="4" w:space="0"/>
            </w:tcBorders>
            <w:shd w:val="clear" w:color="auto" w:fill="auto"/>
            <w:vAlign w:val="center"/>
          </w:tcPr>
          <w:p w14:paraId="1776DF05">
            <w:pPr>
              <w:jc w:val="center"/>
              <w:rPr>
                <w:rFonts w:hint="default" w:ascii="Times New Roman" w:hAnsi="Times New Roman" w:eastAsia="仿宋_GB2312" w:cs="Times New Roman"/>
                <w:color w:val="000000"/>
                <w:sz w:val="21"/>
                <w:szCs w:val="21"/>
                <w:lang w:val="en-US" w:eastAsia="zh-CN"/>
              </w:rPr>
            </w:pPr>
            <w:r>
              <w:rPr>
                <w:rFonts w:hint="eastAsia" w:ascii="Times New Roman" w:hAnsi="Times New Roman" w:eastAsia="仿宋_GB2312" w:cs="Times New Roman"/>
                <w:color w:val="000000"/>
                <w:sz w:val="21"/>
                <w:szCs w:val="21"/>
                <w:lang w:val="en-US" w:eastAsia="zh-CN"/>
              </w:rPr>
              <w:t>20</w:t>
            </w:r>
          </w:p>
        </w:tc>
        <w:tc>
          <w:tcPr>
            <w:tcW w:w="1154" w:type="pct"/>
            <w:tcBorders>
              <w:top w:val="nil"/>
              <w:left w:val="nil"/>
              <w:bottom w:val="single" w:color="auto" w:sz="4" w:space="0"/>
              <w:right w:val="single" w:color="auto" w:sz="4" w:space="0"/>
            </w:tcBorders>
            <w:shd w:val="clear" w:color="auto" w:fill="auto"/>
            <w:vAlign w:val="center"/>
          </w:tcPr>
          <w:p w14:paraId="1F715460">
            <w:pPr>
              <w:jc w:val="center"/>
              <w:rPr>
                <w:rFonts w:hint="default" w:ascii="Times New Roman" w:hAnsi="Times New Roman" w:eastAsia="仿宋_GB2312" w:cs="Times New Roman"/>
                <w:color w:val="000000"/>
                <w:sz w:val="21"/>
                <w:szCs w:val="21"/>
                <w:lang w:val="en-US" w:eastAsia="zh-CN"/>
              </w:rPr>
            </w:pPr>
            <w:r>
              <w:rPr>
                <w:rFonts w:hint="eastAsia" w:ascii="Times New Roman" w:hAnsi="Times New Roman" w:eastAsia="仿宋_GB2312" w:cs="Times New Roman"/>
                <w:color w:val="000000"/>
                <w:sz w:val="21"/>
                <w:szCs w:val="21"/>
                <w:lang w:val="en-US" w:eastAsia="zh-CN"/>
              </w:rPr>
              <w:t>100%</w:t>
            </w:r>
          </w:p>
        </w:tc>
      </w:tr>
      <w:tr w14:paraId="1E117260">
        <w:tblPrEx>
          <w:tblCellMar>
            <w:top w:w="0" w:type="dxa"/>
            <w:left w:w="108" w:type="dxa"/>
            <w:bottom w:w="0" w:type="dxa"/>
            <w:right w:w="108" w:type="dxa"/>
          </w:tblCellMar>
        </w:tblPrEx>
        <w:trPr>
          <w:trHeight w:val="340" w:hRule="atLeast"/>
          <w:jc w:val="center"/>
        </w:trPr>
        <w:tc>
          <w:tcPr>
            <w:tcW w:w="1590" w:type="pct"/>
            <w:tcBorders>
              <w:top w:val="nil"/>
              <w:left w:val="single" w:color="auto" w:sz="4" w:space="0"/>
              <w:bottom w:val="single" w:color="auto" w:sz="4" w:space="0"/>
              <w:right w:val="single" w:color="auto" w:sz="4" w:space="0"/>
            </w:tcBorders>
            <w:shd w:val="clear" w:color="auto" w:fill="auto"/>
            <w:vAlign w:val="center"/>
          </w:tcPr>
          <w:p w14:paraId="334A823A">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1099" w:type="pct"/>
            <w:tcBorders>
              <w:top w:val="nil"/>
              <w:left w:val="nil"/>
              <w:bottom w:val="single" w:color="auto" w:sz="4" w:space="0"/>
              <w:right w:val="single" w:color="auto" w:sz="4" w:space="0"/>
            </w:tcBorders>
            <w:shd w:val="clear" w:color="auto" w:fill="auto"/>
            <w:vAlign w:val="center"/>
          </w:tcPr>
          <w:p w14:paraId="672AFE79">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1154" w:type="pct"/>
            <w:tcBorders>
              <w:top w:val="nil"/>
              <w:left w:val="nil"/>
              <w:bottom w:val="single" w:color="auto" w:sz="4" w:space="0"/>
              <w:right w:val="single" w:color="auto" w:sz="4" w:space="0"/>
            </w:tcBorders>
            <w:shd w:val="clear" w:color="auto" w:fill="auto"/>
            <w:vAlign w:val="center"/>
          </w:tcPr>
          <w:p w14:paraId="49441720">
            <w:pPr>
              <w:jc w:val="center"/>
              <w:rPr>
                <w:rFonts w:hint="default" w:ascii="Times New Roman" w:hAnsi="Times New Roman" w:eastAsia="仿宋_GB2312" w:cs="Times New Roman"/>
                <w:b/>
                <w:bCs/>
                <w:color w:val="000000"/>
                <w:sz w:val="21"/>
                <w:szCs w:val="21"/>
                <w:lang w:val="en-US" w:eastAsia="zh-CN"/>
              </w:rPr>
            </w:pPr>
            <w:r>
              <w:rPr>
                <w:rFonts w:hint="eastAsia" w:ascii="Times New Roman" w:hAnsi="Times New Roman" w:eastAsia="仿宋_GB2312" w:cs="Times New Roman"/>
                <w:b/>
                <w:bCs/>
                <w:color w:val="000000"/>
                <w:sz w:val="21"/>
                <w:szCs w:val="21"/>
                <w:lang w:val="en-US" w:eastAsia="zh-CN"/>
              </w:rPr>
              <w:t>99.76</w:t>
            </w:r>
          </w:p>
        </w:tc>
        <w:tc>
          <w:tcPr>
            <w:tcW w:w="1154" w:type="pct"/>
            <w:tcBorders>
              <w:top w:val="nil"/>
              <w:left w:val="nil"/>
              <w:bottom w:val="single" w:color="auto" w:sz="4" w:space="0"/>
              <w:right w:val="single" w:color="auto" w:sz="4" w:space="0"/>
            </w:tcBorders>
            <w:shd w:val="clear" w:color="auto" w:fill="auto"/>
            <w:vAlign w:val="center"/>
          </w:tcPr>
          <w:p w14:paraId="69B1C941">
            <w:pPr>
              <w:jc w:val="center"/>
              <w:rPr>
                <w:rFonts w:hint="default" w:ascii="Times New Roman" w:hAnsi="Times New Roman" w:eastAsia="仿宋_GB2312" w:cs="Times New Roman"/>
                <w:b/>
                <w:bCs/>
                <w:color w:val="000000"/>
                <w:sz w:val="21"/>
                <w:szCs w:val="21"/>
                <w:lang w:val="en-US" w:eastAsia="zh-CN"/>
              </w:rPr>
            </w:pPr>
            <w:r>
              <w:rPr>
                <w:rFonts w:hint="eastAsia" w:ascii="Times New Roman" w:hAnsi="Times New Roman" w:eastAsia="仿宋_GB2312" w:cs="Times New Roman"/>
                <w:b/>
                <w:bCs/>
                <w:color w:val="000000"/>
                <w:sz w:val="21"/>
                <w:szCs w:val="21"/>
                <w:lang w:val="en-US" w:eastAsia="zh-CN"/>
              </w:rPr>
              <w:t>99.76%</w:t>
            </w:r>
          </w:p>
        </w:tc>
      </w:tr>
    </w:tbl>
    <w:p w14:paraId="70F62D1C">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14:paraId="50E41E5C">
      <w:pPr>
        <w:pStyle w:val="10"/>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14:paraId="587CC5E6">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ascii="Times New Roman" w:hAnsi="Times New Roman"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0D3B82D2">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14:paraId="546A8D9C">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14:paraId="497764CA">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本项目严格遵循</w:t>
      </w:r>
      <w:r>
        <w:rPr>
          <w:rFonts w:hint="eastAsia" w:eastAsia="仿宋_GB2312" w:cs="Times New Roman"/>
          <w:sz w:val="32"/>
          <w:szCs w:val="32"/>
          <w:highlight w:val="none"/>
          <w:lang w:val="en-US" w:eastAsia="zh-CN"/>
        </w:rPr>
        <w:t>《中华人民共和国安全生产法》《中华人民共和国矿山安全法》《国务院关于印发“十四五”国家应急体系规划的通知》（国发〔2021〕36号）、国家减灾委员会关于印发《“十四五”国家综合防灾减灾规划》的通知（国减发〔2022〕1号）、《自治区综合防灾减灾“十四五”规划》（新政办发〔2021〕69号）《全国应急管理干部实战大练兵（2023-2025年）总体方案》（应急委发〔2023〕6号）</w:t>
      </w:r>
      <w:r>
        <w:rPr>
          <w:rFonts w:hint="default" w:ascii="Times New Roman" w:hAnsi="Times New Roman" w:eastAsia="仿宋_GB2312" w:cs="Times New Roman"/>
          <w:sz w:val="32"/>
          <w:szCs w:val="32"/>
          <w:lang w:val="en-US" w:eastAsia="zh-CN"/>
        </w:rPr>
        <w:t>等</w:t>
      </w:r>
      <w:r>
        <w:rPr>
          <w:rFonts w:hint="eastAsia" w:eastAsia="仿宋_GB2312" w:cs="Times New Roman"/>
          <w:sz w:val="32"/>
          <w:szCs w:val="32"/>
          <w:lang w:val="en-US" w:eastAsia="zh-CN"/>
        </w:rPr>
        <w:t>文件要求</w:t>
      </w:r>
      <w:r>
        <w:rPr>
          <w:rFonts w:hint="default" w:ascii="Times New Roman" w:hAnsi="Times New Roman" w:eastAsia="仿宋_GB2312" w:cs="Times New Roman"/>
          <w:sz w:val="32"/>
          <w:szCs w:val="32"/>
          <w:lang w:val="en-US" w:eastAsia="zh-CN"/>
        </w:rPr>
        <w:t>，紧扣国家“十四五”应急体系规划及自治区安全生产专项整治三年行动部署，聚焦“隐患排查治理、应急能力提升、信息化建设”等年度重点工作，属于公共财政支持的防灾减灾与应急管理领域。项目内容与部门职能高度契合（如保障“两委三部”运行、覆盖96个县市区执法检查），未与部门其他项目重复，且目标设定（如完成3项“十四五”规划监测评估、采购2批次救援装备）均基于自治区安全生产形势实际需求，立项文件、发展规划等资料完整可溯。</w:t>
      </w:r>
    </w:p>
    <w:p w14:paraId="52EDF22C">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14:paraId="6F9EC0D6">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w:t>
      </w:r>
      <w:r>
        <w:rPr>
          <w:rFonts w:hint="default" w:ascii="Times New Roman" w:hAnsi="Times New Roman" w:eastAsia="仿宋_GB2312" w:cs="Times New Roman"/>
          <w:sz w:val="32"/>
          <w:szCs w:val="32"/>
          <w:lang w:eastAsia="zh-Hans"/>
        </w:rPr>
        <w:t>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绩效评估、集体决策，保障了程序的规范性。</w:t>
      </w:r>
    </w:p>
    <w:p w14:paraId="5A9CF6C0">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14:paraId="7050F070">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14:paraId="1B562BB6">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Hans"/>
        </w:rPr>
        <w:t>项目根据2024年自治区安全生产及应急管理工作重点，围绕</w:t>
      </w:r>
      <w:r>
        <w:rPr>
          <w:rFonts w:hint="eastAsia" w:eastAsia="仿宋_GB2312" w:cs="Times New Roman"/>
          <w:sz w:val="32"/>
          <w:szCs w:val="32"/>
          <w:lang w:val="en-US" w:eastAsia="zh-CN"/>
        </w:rPr>
        <w:t>执法检查</w:t>
      </w:r>
      <w:r>
        <w:rPr>
          <w:rFonts w:hint="default" w:ascii="Times New Roman" w:hAnsi="Times New Roman" w:eastAsia="仿宋_GB2312" w:cs="Times New Roman"/>
          <w:sz w:val="32"/>
          <w:szCs w:val="32"/>
          <w:lang w:val="en-US" w:eastAsia="zh-Hans"/>
        </w:rPr>
        <w:t>、应急能力提升、信息化建设等核心任务，科学设定</w:t>
      </w:r>
      <w:r>
        <w:rPr>
          <w:rFonts w:hint="eastAsia" w:eastAsia="仿宋_GB2312" w:cs="Times New Roman"/>
          <w:sz w:val="32"/>
          <w:szCs w:val="32"/>
          <w:lang w:val="en-US" w:eastAsia="zh-CN"/>
        </w:rPr>
        <w:t>绩效目标</w:t>
      </w:r>
      <w:r>
        <w:rPr>
          <w:rFonts w:hint="default" w:ascii="Times New Roman" w:hAnsi="Times New Roman" w:eastAsia="仿宋_GB2312" w:cs="Times New Roman"/>
          <w:sz w:val="32"/>
          <w:szCs w:val="32"/>
          <w:lang w:val="en-US" w:eastAsia="zh-Han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w:t>
      </w:r>
      <w:r>
        <w:rPr>
          <w:rFonts w:hint="eastAsia" w:ascii="Times New Roman" w:hAnsi="Times New Roman" w:eastAsia="仿宋_GB2312" w:cs="Times New Roman"/>
          <w:sz w:val="32"/>
          <w:szCs w:val="32"/>
          <w:lang w:val="en-US" w:eastAsia="zh-CN"/>
        </w:rPr>
        <w:t>项目设置了18条绩效指标，17条指标可量化，</w:t>
      </w:r>
      <w:r>
        <w:rPr>
          <w:rFonts w:hint="default" w:ascii="Times New Roman" w:hAnsi="Times New Roman" w:eastAsia="仿宋_GB2312" w:cs="Times New Roman"/>
          <w:sz w:val="32"/>
          <w:szCs w:val="32"/>
          <w:lang w:val="en-US" w:eastAsia="zh-CN"/>
        </w:rPr>
        <w:t>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788B39CA">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14:paraId="5B123CDC">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项目设置了明确的预期产出效益和效果，将绩效目标细化分解为具体的绩效指标（如执法覆盖县市区数量、装备采购批次等），确保每项指标均与计划任务精准对应</w:t>
      </w:r>
      <w:r>
        <w:rPr>
          <w:rFonts w:hint="eastAsia"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绩效目标设定的绩效指标清晰、细化、可衡量。</w:t>
      </w:r>
    </w:p>
    <w:p w14:paraId="33A11470">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14:paraId="1C019F43">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14:paraId="626E1A3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14:paraId="1F64AD4F">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在预算编制过程中，</w:t>
      </w:r>
      <w:r>
        <w:rPr>
          <w:rFonts w:hint="default" w:ascii="Times New Roman" w:hAnsi="Times New Roman" w:eastAsia="仿宋_GB2312" w:cs="Times New Roman"/>
          <w:sz w:val="32"/>
          <w:szCs w:val="32"/>
          <w:highlight w:val="none"/>
          <w:lang w:val="en-US" w:eastAsia="zh-CN"/>
        </w:rPr>
        <w:t>还</w:t>
      </w:r>
      <w:r>
        <w:rPr>
          <w:rFonts w:hint="default" w:ascii="Times New Roman" w:hAnsi="Times New Roman" w:eastAsia="仿宋_GB2312" w:cs="Times New Roman"/>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14:paraId="4D66E1C6">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14:paraId="09A0F4A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14:paraId="6157180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14:paraId="62DC361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14:paraId="76B06F90">
      <w:pPr>
        <w:pStyle w:val="10"/>
        <w:numPr>
          <w:ilvl w:val="0"/>
          <w:numId w:val="4"/>
        </w:numPr>
        <w:spacing w:before="0" w:after="0" w:line="560" w:lineRule="exact"/>
        <w:ind w:firstLine="643" w:firstLineChars="200"/>
        <w:jc w:val="both"/>
        <w:rPr>
          <w:rFonts w:hint="default" w:ascii="Times New Roman" w:hAnsi="Times New Roman" w:eastAsia="楷体" w:cs="Times New Roman"/>
        </w:rPr>
      </w:pPr>
      <w:r>
        <w:rPr>
          <w:rFonts w:hint="default" w:ascii="Times New Roman" w:hAnsi="Times New Roman" w:eastAsia="楷体" w:cs="Times New Roman"/>
        </w:rPr>
        <w:t>项目过程情况</w:t>
      </w:r>
    </w:p>
    <w:p w14:paraId="217CF8C0">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项目过程类指标包括资金管理和组织实施两方面的内容，由5个三级指标构成，权重分值为20分，实际得分</w:t>
      </w:r>
      <w:r>
        <w:rPr>
          <w:rFonts w:hint="eastAsia" w:ascii="Times New Roman" w:hAnsi="Times New Roman" w:eastAsia="仿宋_GB2312" w:cs="Times New Roman"/>
          <w:sz w:val="32"/>
          <w:szCs w:val="32"/>
          <w:highlight w:val="none"/>
          <w:lang w:val="en-US" w:eastAsia="zh-CN"/>
        </w:rPr>
        <w:t>19.76</w:t>
      </w:r>
      <w:r>
        <w:rPr>
          <w:rFonts w:hint="default" w:ascii="Times New Roman" w:hAnsi="Times New Roman" w:eastAsia="仿宋_GB2312" w:cs="Times New Roman"/>
          <w:sz w:val="32"/>
          <w:szCs w:val="32"/>
          <w:highlight w:val="none"/>
          <w:lang w:val="en-US" w:eastAsia="zh-CN"/>
        </w:rPr>
        <w:t>分，得分率为</w:t>
      </w:r>
      <w:r>
        <w:rPr>
          <w:rFonts w:hint="eastAsia" w:ascii="Times New Roman" w:hAnsi="Times New Roman" w:eastAsia="仿宋_GB2312" w:cs="Times New Roman"/>
          <w:sz w:val="32"/>
          <w:szCs w:val="32"/>
          <w:highlight w:val="none"/>
          <w:lang w:val="en-US" w:eastAsia="zh-CN"/>
        </w:rPr>
        <w:t>98.8</w:t>
      </w:r>
      <w:r>
        <w:rPr>
          <w:rFonts w:hint="default" w:ascii="Times New Roman" w:hAnsi="Times New Roman" w:eastAsia="仿宋_GB2312" w:cs="Times New Roman"/>
          <w:sz w:val="32"/>
          <w:szCs w:val="32"/>
          <w:highlight w:val="none"/>
          <w:lang w:val="en-US" w:eastAsia="zh-CN"/>
        </w:rPr>
        <w:t>%。</w:t>
      </w:r>
    </w:p>
    <w:p w14:paraId="348574CD">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1.资金管理</w:t>
      </w:r>
    </w:p>
    <w:p w14:paraId="290DB0EB">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（1）资金到位率</w:t>
      </w:r>
    </w:p>
    <w:p w14:paraId="7BEFCB07">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本项目总投资</w:t>
      </w:r>
      <w:r>
        <w:rPr>
          <w:rFonts w:hint="eastAsia" w:ascii="Times New Roman" w:hAnsi="Times New Roman" w:eastAsia="仿宋_GB2312" w:cs="Times New Roman"/>
          <w:sz w:val="32"/>
          <w:szCs w:val="32"/>
          <w:highlight w:val="none"/>
          <w:lang w:val="en-US" w:eastAsia="zh-CN"/>
        </w:rPr>
        <w:t>4300</w:t>
      </w:r>
      <w:r>
        <w:rPr>
          <w:rFonts w:hint="default" w:ascii="Times New Roman" w:hAnsi="Times New Roman" w:eastAsia="仿宋_GB2312" w:cs="Times New Roman"/>
          <w:sz w:val="32"/>
          <w:szCs w:val="32"/>
          <w:highlight w:val="none"/>
          <w:lang w:val="en-US" w:eastAsia="zh-CN"/>
        </w:rPr>
        <w:t>万元，财政资金及时足额到位，到位率</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%，预算资金按计划进度执行。</w:t>
      </w:r>
    </w:p>
    <w:p w14:paraId="2DFB9072">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（2）预算执行率</w:t>
      </w:r>
    </w:p>
    <w:p w14:paraId="79A1A397">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预算编制较为详细，项目资金支出总体能够按照预算执行，预算资金支出4044.25万元，预算执行率为94.05%。</w:t>
      </w:r>
    </w:p>
    <w:p w14:paraId="68A681F4">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14:paraId="7F3A7F8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本项目的资金使用严格遵循了《安全生产及应急专项资金管理办法》，确保了资金的合规性与安全性。在资金使用过程中，我们建立了完善的财务管理体系，对资金的流动进行了全程监控与记录。</w:t>
      </w:r>
    </w:p>
    <w:p w14:paraId="718A73D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14:paraId="1EEEFFC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14:paraId="6A02A652">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2.组织实施</w:t>
      </w:r>
    </w:p>
    <w:p w14:paraId="26449666">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（1）管理制度健全性</w:t>
      </w:r>
    </w:p>
    <w:p w14:paraId="60CF81D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14:paraId="4C6D9D8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14:paraId="7AB0C4C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14:paraId="63944072">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14:paraId="150E812A">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14:paraId="3C68E47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14:paraId="336D521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14:paraId="5262B93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14:paraId="76389D37">
      <w:pPr>
        <w:pStyle w:val="12"/>
        <w:numPr>
          <w:ilvl w:val="0"/>
          <w:numId w:val="4"/>
        </w:numPr>
        <w:spacing w:line="560" w:lineRule="exact"/>
        <w:ind w:firstLine="643"/>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14:paraId="10DDFCB0">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w:t>
      </w:r>
      <w:r>
        <w:rPr>
          <w:rFonts w:hint="default" w:ascii="Times New Roman" w:hAnsi="Times New Roman" w:eastAsia="仿宋_GB2312" w:cs="Times New Roman"/>
          <w:sz w:val="32"/>
          <w:szCs w:val="32"/>
          <w:highlight w:val="none"/>
          <w:lang w:val="en-US" w:eastAsia="zh-CN"/>
        </w:rPr>
        <w:t>产出类指标包括产出数量、产出质量、产出时效</w:t>
      </w:r>
      <w:r>
        <w:rPr>
          <w:rFonts w:hint="eastAsia" w:eastAsia="仿宋_GB2312" w:cs="Times New Roman"/>
          <w:sz w:val="32"/>
          <w:szCs w:val="32"/>
          <w:highlight w:val="none"/>
          <w:lang w:val="en-US" w:eastAsia="zh-CN"/>
        </w:rPr>
        <w:t>、产出成本四</w:t>
      </w:r>
      <w:r>
        <w:rPr>
          <w:rFonts w:hint="default" w:ascii="Times New Roman" w:hAnsi="Times New Roman" w:eastAsia="仿宋_GB2312" w:cs="Times New Roman"/>
          <w:sz w:val="32"/>
          <w:szCs w:val="32"/>
          <w:highlight w:val="none"/>
          <w:lang w:val="en-US" w:eastAsia="zh-CN"/>
        </w:rPr>
        <w:t>方面的内容，由</w:t>
      </w:r>
      <w:r>
        <w:rPr>
          <w:rFonts w:hint="eastAsia" w:ascii="Times New Roman" w:hAnsi="Times New Roman" w:eastAsia="仿宋_GB2312" w:cs="Times New Roman"/>
          <w:sz w:val="32"/>
          <w:szCs w:val="32"/>
          <w:highlight w:val="none"/>
          <w:lang w:val="en-US" w:eastAsia="zh-CN"/>
        </w:rPr>
        <w:t>1</w:t>
      </w:r>
      <w:r>
        <w:rPr>
          <w:rFonts w:hint="eastAsia" w:eastAsia="仿宋_GB2312" w:cs="Times New Roman"/>
          <w:sz w:val="32"/>
          <w:szCs w:val="32"/>
          <w:highlight w:val="none"/>
          <w:lang w:val="en-US" w:eastAsia="zh-CN"/>
        </w:rPr>
        <w:t>7</w:t>
      </w:r>
      <w:r>
        <w:rPr>
          <w:rFonts w:hint="default" w:ascii="Times New Roman" w:hAnsi="Times New Roman" w:eastAsia="仿宋_GB2312" w:cs="Times New Roman"/>
          <w:sz w:val="32"/>
          <w:szCs w:val="32"/>
          <w:highlight w:val="none"/>
          <w:lang w:val="en-US" w:eastAsia="zh-CN"/>
        </w:rPr>
        <w:t>个三级指标构成，权重分为40分，实际得分</w:t>
      </w:r>
      <w:r>
        <w:rPr>
          <w:rFonts w:hint="eastAsia" w:ascii="Times New Roman" w:hAnsi="Times New Roman" w:eastAsia="仿宋_GB2312" w:cs="Times New Roman"/>
          <w:sz w:val="32"/>
          <w:szCs w:val="32"/>
          <w:highlight w:val="none"/>
          <w:lang w:val="en-US" w:eastAsia="zh-CN"/>
        </w:rPr>
        <w:t>40</w:t>
      </w:r>
      <w:r>
        <w:rPr>
          <w:rFonts w:hint="default" w:ascii="Times New Roman" w:hAnsi="Times New Roman" w:eastAsia="仿宋_GB2312" w:cs="Times New Roman"/>
          <w:sz w:val="32"/>
          <w:szCs w:val="32"/>
          <w:highlight w:val="none"/>
          <w:lang w:val="en-US" w:eastAsia="zh-CN"/>
        </w:rPr>
        <w:t>分，得分率为</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lang w:val="en-US" w:eastAsia="zh-CN"/>
        </w:rPr>
        <w:t>具体产出指标完成情况如下：</w:t>
      </w:r>
    </w:p>
    <w:p w14:paraId="29958EE4">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14:paraId="5286D973">
      <w:pPr>
        <w:shd w:val="clear"/>
        <w:spacing w:line="600" w:lineRule="exact"/>
        <w:ind w:firstLine="640" w:firstLineChars="200"/>
        <w:outlineLvl w:val="0"/>
        <w:rPr>
          <w:rFonts w:hint="eastAsia"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指标1：保障“两委三部”重点会议次数，指标值：</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rPr>
        <w:t>6次，实际完成值：6次，指标完成率</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w:t>
      </w:r>
    </w:p>
    <w:p w14:paraId="67A01F12">
      <w:pPr>
        <w:shd w:val="clear"/>
        <w:spacing w:line="600" w:lineRule="exact"/>
        <w:ind w:firstLine="640" w:firstLineChars="200"/>
        <w:outlineLvl w:val="0"/>
        <w:rPr>
          <w:rFonts w:hint="default" w:ascii="Times New Roman" w:hAnsi="Times New Roman" w:eastAsia="仿宋_GB2312" w:cs="Times New Roman"/>
          <w:color w:val="FF0000"/>
          <w:sz w:val="32"/>
          <w:szCs w:val="32"/>
          <w:highlight w:val="none"/>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：应急管理相关执法检查和指导服务覆盖县市区数量，指标值：=96个县市区，实际完成值：96个县市区，指标完成率</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w:t>
      </w:r>
    </w:p>
    <w:p w14:paraId="649EBE7D">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：安全生产综合基地运行维护场所，指标值：=1处，实际完成值：1处，指标完成率</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w:t>
      </w:r>
    </w:p>
    <w:p w14:paraId="7FE191CA">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：安全生产重点检查行业数量，指标值：</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rPr>
        <w:t>7类，实际完成值：7类，指标完成率</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w:t>
      </w:r>
    </w:p>
    <w:p w14:paraId="2D5574A2">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rPr>
        <w:t>：应急管理“十四五”规划实施进展监测评估数量，指标值：=3项，实际完成值：3项，指标完成率</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w:t>
      </w:r>
    </w:p>
    <w:p w14:paraId="0187DA87">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rPr>
        <w:t>：举办应急管理、安全生产、防灾减灾救灾宣传活动，指标值：</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rPr>
        <w:t>4场，实际完成值：5场，指标完成率</w:t>
      </w:r>
      <w:r>
        <w:rPr>
          <w:rFonts w:hint="eastAsia" w:ascii="Times New Roman" w:hAnsi="Times New Roman" w:eastAsia="仿宋_GB2312" w:cs="Times New Roman"/>
          <w:sz w:val="32"/>
          <w:szCs w:val="32"/>
          <w:highlight w:val="none"/>
          <w:lang w:val="en-US" w:eastAsia="zh-CN"/>
        </w:rPr>
        <w:t>125</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eastAsia="zh-CN"/>
        </w:rPr>
        <w:t>根据2024年工作实际情况，增加了1场宣传活动</w:t>
      </w:r>
      <w:r>
        <w:rPr>
          <w:rFonts w:hint="eastAsia" w:ascii="Times New Roman" w:hAnsi="Times New Roman" w:eastAsia="仿宋_GB2312" w:cs="Times New Roman"/>
          <w:sz w:val="32"/>
          <w:szCs w:val="32"/>
          <w:highlight w:val="none"/>
          <w:lang w:eastAsia="zh-CN"/>
        </w:rPr>
        <w:t>。</w:t>
      </w:r>
    </w:p>
    <w:p w14:paraId="1DC9A9FF">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7</w:t>
      </w:r>
      <w:r>
        <w:rPr>
          <w:rFonts w:hint="default" w:ascii="Times New Roman" w:hAnsi="Times New Roman" w:eastAsia="仿宋_GB2312" w:cs="Times New Roman"/>
          <w:sz w:val="32"/>
          <w:szCs w:val="32"/>
          <w:highlight w:val="none"/>
        </w:rPr>
        <w:t>：全年开展各项培训次数，指标值：</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rPr>
        <w:t>8次，实际完成值：10次，指标完成率</w:t>
      </w:r>
      <w:r>
        <w:rPr>
          <w:rFonts w:hint="eastAsia" w:ascii="Times New Roman" w:hAnsi="Times New Roman" w:eastAsia="仿宋_GB2312" w:cs="Times New Roman"/>
          <w:sz w:val="32"/>
          <w:szCs w:val="32"/>
          <w:highlight w:val="none"/>
          <w:lang w:val="en-US" w:eastAsia="zh-CN"/>
        </w:rPr>
        <w:t>125</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，偏差原因：根据2024年工作实际情况，增加了2次培训次数</w:t>
      </w:r>
      <w:r>
        <w:rPr>
          <w:rFonts w:hint="eastAsia" w:ascii="Times New Roman" w:hAnsi="Times New Roman" w:eastAsia="仿宋_GB2312" w:cs="Times New Roman"/>
          <w:sz w:val="32"/>
          <w:szCs w:val="32"/>
          <w:highlight w:val="none"/>
          <w:lang w:eastAsia="zh-CN"/>
        </w:rPr>
        <w:t>。</w:t>
      </w:r>
    </w:p>
    <w:p w14:paraId="4DE8CD56">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8</w:t>
      </w:r>
      <w:r>
        <w:rPr>
          <w:rFonts w:hint="default" w:ascii="Times New Roman" w:hAnsi="Times New Roman" w:eastAsia="仿宋_GB2312" w:cs="Times New Roman"/>
          <w:sz w:val="32"/>
          <w:szCs w:val="32"/>
          <w:highlight w:val="none"/>
        </w:rPr>
        <w:t>：应急管理信息系统保障运行数量，指标值：</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rPr>
        <w:t>7套，实际完成值：7套，指标完成率</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w:t>
      </w:r>
    </w:p>
    <w:p w14:paraId="416497C2">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9</w:t>
      </w:r>
      <w:r>
        <w:rPr>
          <w:rFonts w:hint="default" w:ascii="Times New Roman" w:hAnsi="Times New Roman" w:eastAsia="仿宋_GB2312" w:cs="Times New Roman"/>
          <w:sz w:val="32"/>
          <w:szCs w:val="32"/>
          <w:highlight w:val="none"/>
        </w:rPr>
        <w:t>：采购应急救援装备批次，指标值：=2批次，实际完成值：2批次，指标完成率</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w:t>
      </w:r>
    </w:p>
    <w:p w14:paraId="1694FCFB">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14:paraId="3BF20824">
      <w:pPr>
        <w:shd w:val="clear"/>
        <w:spacing w:line="600" w:lineRule="exact"/>
        <w:ind w:firstLine="640" w:firstLineChars="200"/>
        <w:outlineLvl w:val="0"/>
        <w:rPr>
          <w:rFonts w:hint="default" w:ascii="Times New Roman" w:hAnsi="Times New Roman" w:eastAsia="仿宋_GB2312" w:cs="Times New Roman"/>
          <w:color w:val="FF0000"/>
          <w:sz w:val="32"/>
          <w:szCs w:val="32"/>
          <w:highlight w:val="none"/>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：安全生产执法检查计划完成率，指标值：=100%，实际完成值：100%，指标完成率</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w:t>
      </w:r>
    </w:p>
    <w:p w14:paraId="52695B5E">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：重大生产安全隐患挂牌督办率，指标值：=100%，实际完成值：100%，指标完成率</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w:t>
      </w:r>
    </w:p>
    <w:p w14:paraId="03FB496A">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：应急管理信息系统运维验收合格率，指标值：=100%，实际完成值：100%，指标完成率</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w:t>
      </w:r>
    </w:p>
    <w:p w14:paraId="0241CE6F">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：应急救援装备采购验收合格率，指标值：=100%，实际完成值：100%，指标完成率</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w:t>
      </w:r>
    </w:p>
    <w:p w14:paraId="31FEA19F">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14:paraId="3643598B">
      <w:pPr>
        <w:shd w:val="clear"/>
        <w:spacing w:line="600" w:lineRule="exact"/>
        <w:ind w:firstLine="640" w:firstLineChars="200"/>
        <w:outlineLvl w:val="0"/>
        <w:rPr>
          <w:rFonts w:hint="default" w:ascii="Times New Roman" w:hAnsi="Times New Roman" w:eastAsia="仿宋_GB2312" w:cs="Times New Roman"/>
          <w:color w:val="FF0000"/>
          <w:sz w:val="32"/>
          <w:szCs w:val="32"/>
          <w:highlight w:val="none"/>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：年度检查任务按期完成率，指标值：</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rPr>
        <w:t>90%，实际完成值：90%，指标完成率</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w:t>
      </w:r>
    </w:p>
    <w:p w14:paraId="73A21F50">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：应急管理信息系统故障响应时间，指标值：</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rPr>
        <w:t>12小时，实际完成值：3小时，指标完成率</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w:t>
      </w:r>
    </w:p>
    <w:p w14:paraId="5B38B478">
      <w:pPr>
        <w:shd w:val="clear"/>
        <w:spacing w:line="600" w:lineRule="exact"/>
        <w:ind w:firstLine="640" w:firstLineChars="200"/>
        <w:outlineLvl w:val="0"/>
        <w:rPr>
          <w:rFonts w:hint="eastAsia"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：应急救援装备采购按期完成率，指标值：</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rPr>
        <w:t>95%，实际完成值：95%，指标完成率</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w:t>
      </w:r>
    </w:p>
    <w:p w14:paraId="788DBB85">
      <w:pPr>
        <w:shd w:val="clear"/>
        <w:spacing w:line="600" w:lineRule="exact"/>
        <w:ind w:firstLine="640" w:firstLineChars="200"/>
        <w:outlineLvl w:val="0"/>
        <w:rPr>
          <w:rFonts w:hint="default" w:eastAsia="仿宋_GB2312"/>
          <w:sz w:val="32"/>
          <w:szCs w:val="32"/>
          <w:highlight w:val="none"/>
          <w:lang w:val="en-US" w:eastAsia="zh-CN"/>
        </w:rPr>
      </w:pPr>
      <w:r>
        <w:rPr>
          <w:rFonts w:hint="default" w:eastAsia="仿宋_GB2312"/>
          <w:sz w:val="32"/>
          <w:szCs w:val="32"/>
          <w:highlight w:val="none"/>
          <w:lang w:val="en-US" w:eastAsia="zh-CN"/>
        </w:rPr>
        <w:t>④成本指标：</w:t>
      </w:r>
    </w:p>
    <w:p w14:paraId="549756AA">
      <w:pPr>
        <w:shd w:val="clear"/>
        <w:spacing w:line="600" w:lineRule="exact"/>
        <w:ind w:firstLine="640" w:firstLineChars="200"/>
        <w:outlineLvl w:val="0"/>
        <w:rPr>
          <w:rFonts w:hint="default" w:eastAsia="仿宋_GB2312"/>
          <w:sz w:val="32"/>
          <w:szCs w:val="32"/>
          <w:highlight w:val="none"/>
          <w:lang w:val="en-US" w:eastAsia="zh-CN"/>
        </w:rPr>
      </w:pPr>
      <w:r>
        <w:rPr>
          <w:rFonts w:hint="default" w:eastAsia="仿宋_GB2312"/>
          <w:sz w:val="32"/>
          <w:szCs w:val="32"/>
          <w:highlight w:val="none"/>
          <w:lang w:val="en-US" w:eastAsia="zh-CN"/>
        </w:rPr>
        <w:t>指标1：成本节约率，指标值：≥0%，实际完成值：5.95%，指标完成率</w:t>
      </w:r>
      <w:r>
        <w:rPr>
          <w:rFonts w:hint="eastAsia" w:eastAsia="仿宋_GB2312"/>
          <w:sz w:val="32"/>
          <w:szCs w:val="32"/>
          <w:highlight w:val="none"/>
          <w:lang w:val="en-US" w:eastAsia="zh-CN"/>
        </w:rPr>
        <w:t>100%。</w:t>
      </w:r>
    </w:p>
    <w:p w14:paraId="030F6C36">
      <w:pPr>
        <w:pStyle w:val="12"/>
        <w:numPr>
          <w:ilvl w:val="0"/>
          <w:numId w:val="4"/>
        </w:numPr>
        <w:spacing w:line="560" w:lineRule="exact"/>
        <w:ind w:firstLine="643"/>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项目效益情况</w:t>
      </w:r>
    </w:p>
    <w:p w14:paraId="1F3F1CD8">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项目效益类指标包括项目实施效益和满意度两方面的内容，由</w:t>
      </w:r>
      <w:r>
        <w:rPr>
          <w:rFonts w:hint="eastAsia"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val="en-US" w:eastAsia="zh-CN"/>
        </w:rPr>
        <w:t>个三级指标构成，权重分为20分，实际得分</w:t>
      </w:r>
      <w:r>
        <w:rPr>
          <w:rFonts w:hint="eastAsia" w:ascii="Times New Roman" w:hAnsi="Times New Roman"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%。具体效益指标及满意度指标完成情况如下：</w:t>
      </w:r>
    </w:p>
    <w:p w14:paraId="537DBCA3">
      <w:pPr>
        <w:shd w:val="clear"/>
        <w:spacing w:line="600" w:lineRule="exact"/>
        <w:ind w:firstLine="643" w:firstLineChars="200"/>
        <w:outlineLvl w:val="0"/>
        <w:rPr>
          <w:rFonts w:hint="default" w:ascii="Times New Roman" w:hAnsi="Times New Roman" w:eastAsia="仿宋_GB2312" w:cs="Times New Roman"/>
          <w:color w:val="FF0000"/>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1.实施效益</w:t>
      </w:r>
    </w:p>
    <w:p w14:paraId="7AE7C806">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①</w:t>
      </w:r>
      <w:r>
        <w:rPr>
          <w:rFonts w:hint="default" w:ascii="Times New Roman" w:hAnsi="Times New Roman" w:eastAsia="仿宋_GB2312" w:cs="Times New Roman"/>
          <w:sz w:val="32"/>
          <w:szCs w:val="32"/>
          <w:highlight w:val="none"/>
        </w:rPr>
        <w:t>社会效益指标：</w:t>
      </w:r>
    </w:p>
    <w:p w14:paraId="06954A3A">
      <w:pPr>
        <w:shd w:val="clear"/>
        <w:spacing w:line="600" w:lineRule="exact"/>
        <w:ind w:firstLine="640" w:firstLineChars="200"/>
        <w:outlineLvl w:val="0"/>
        <w:rPr>
          <w:rFonts w:hint="default" w:ascii="Times New Roman" w:hAnsi="Times New Roman" w:eastAsia="仿宋_GB2312" w:cs="Times New Roman"/>
          <w:color w:val="FF0000"/>
          <w:sz w:val="32"/>
          <w:szCs w:val="32"/>
          <w:highlight w:val="none"/>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：形成2024年度安全生产监督检查完成情况报告，指标值：=1份，实际完成值：1份，指标完成率</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w:t>
      </w:r>
    </w:p>
    <w:p w14:paraId="51949CC5">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：完成应急管理“十四五”规划实施进展监测，指标值：完成，实际完成值：</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，指标完成率</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w:t>
      </w:r>
    </w:p>
    <w:p w14:paraId="7CC00B02">
      <w:pPr>
        <w:shd w:val="clear"/>
        <w:spacing w:line="600" w:lineRule="exact"/>
        <w:ind w:firstLine="643"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2.满意度</w:t>
      </w:r>
    </w:p>
    <w:p w14:paraId="7B63ECEF">
      <w:pPr>
        <w:shd w:val="clear"/>
        <w:spacing w:line="600" w:lineRule="exact"/>
        <w:ind w:firstLine="640" w:firstLineChars="200"/>
        <w:outlineLvl w:val="0"/>
        <w:rPr>
          <w:rFonts w:hint="eastAsia"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val="en-US" w:eastAsia="zh-CN"/>
        </w:rPr>
        <w:t>培训人员满意度</w:t>
      </w:r>
      <w:r>
        <w:rPr>
          <w:rFonts w:hint="default" w:ascii="Times New Roman" w:hAnsi="Times New Roman" w:eastAsia="仿宋_GB2312" w:cs="Times New Roman"/>
          <w:sz w:val="32"/>
          <w:szCs w:val="32"/>
          <w:highlight w:val="none"/>
        </w:rPr>
        <w:t>，指标值：</w:t>
      </w:r>
      <w:r>
        <w:rPr>
          <w:rFonts w:hint="eastAsia" w:ascii="Times New Roman" w:hAnsi="Times New Roman" w:eastAsia="仿宋_GB2312" w:cs="Times New Roman"/>
          <w:sz w:val="32"/>
          <w:szCs w:val="32"/>
          <w:highlight w:val="none"/>
          <w:lang w:val="en-US" w:eastAsia="zh-CN"/>
        </w:rPr>
        <w:t>≥95%</w:t>
      </w:r>
      <w:r>
        <w:rPr>
          <w:rFonts w:hint="default" w:ascii="Times New Roman" w:hAnsi="Times New Roman" w:eastAsia="仿宋_GB2312" w:cs="Times New Roman"/>
          <w:sz w:val="32"/>
          <w:szCs w:val="32"/>
          <w:highlight w:val="none"/>
        </w:rPr>
        <w:t>，实际完成值：</w:t>
      </w:r>
      <w:r>
        <w:rPr>
          <w:rFonts w:hint="eastAsia" w:ascii="Times New Roman" w:hAnsi="Times New Roman" w:eastAsia="仿宋_GB2312" w:cs="Times New Roman"/>
          <w:sz w:val="32"/>
          <w:szCs w:val="32"/>
          <w:highlight w:val="none"/>
          <w:lang w:val="en-US" w:eastAsia="zh-CN"/>
        </w:rPr>
        <w:t>95%</w:t>
      </w:r>
      <w:r>
        <w:rPr>
          <w:rFonts w:hint="default" w:ascii="Times New Roman" w:hAnsi="Times New Roman" w:eastAsia="仿宋_GB2312" w:cs="Times New Roman"/>
          <w:sz w:val="32"/>
          <w:szCs w:val="32"/>
          <w:highlight w:val="none"/>
        </w:rPr>
        <w:t>，指标完成率</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w:t>
      </w:r>
    </w:p>
    <w:p w14:paraId="667FB94E">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val="en-US" w:eastAsia="zh-CN"/>
        </w:rPr>
        <w:t>参加宣传活动人员满意度</w:t>
      </w:r>
      <w:r>
        <w:rPr>
          <w:rFonts w:hint="default" w:ascii="Times New Roman" w:hAnsi="Times New Roman" w:eastAsia="仿宋_GB2312" w:cs="Times New Roman"/>
          <w:sz w:val="32"/>
          <w:szCs w:val="32"/>
          <w:highlight w:val="none"/>
        </w:rPr>
        <w:t>，指标值：</w:t>
      </w:r>
      <w:r>
        <w:rPr>
          <w:rFonts w:hint="eastAsia" w:ascii="Times New Roman" w:hAnsi="Times New Roman" w:eastAsia="仿宋_GB2312" w:cs="Times New Roman"/>
          <w:sz w:val="32"/>
          <w:szCs w:val="32"/>
          <w:highlight w:val="none"/>
          <w:lang w:val="en-US" w:eastAsia="zh-CN"/>
        </w:rPr>
        <w:t>≥95%</w:t>
      </w:r>
      <w:r>
        <w:rPr>
          <w:rFonts w:hint="default" w:ascii="Times New Roman" w:hAnsi="Times New Roman" w:eastAsia="仿宋_GB2312" w:cs="Times New Roman"/>
          <w:sz w:val="32"/>
          <w:szCs w:val="32"/>
          <w:highlight w:val="none"/>
        </w:rPr>
        <w:t>，实际完成值：</w:t>
      </w:r>
      <w:r>
        <w:rPr>
          <w:rFonts w:hint="eastAsia" w:ascii="Times New Roman" w:hAnsi="Times New Roman" w:eastAsia="仿宋_GB2312" w:cs="Times New Roman"/>
          <w:sz w:val="32"/>
          <w:szCs w:val="32"/>
          <w:highlight w:val="none"/>
          <w:lang w:val="en-US" w:eastAsia="zh-CN"/>
        </w:rPr>
        <w:t>95%</w:t>
      </w:r>
      <w:r>
        <w:rPr>
          <w:rFonts w:hint="default" w:ascii="Times New Roman" w:hAnsi="Times New Roman" w:eastAsia="仿宋_GB2312" w:cs="Times New Roman"/>
          <w:sz w:val="32"/>
          <w:szCs w:val="32"/>
          <w:highlight w:val="none"/>
        </w:rPr>
        <w:t>，指标完成率</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w:t>
      </w:r>
    </w:p>
    <w:p w14:paraId="4E8E84AD">
      <w:pPr>
        <w:spacing w:line="560" w:lineRule="exact"/>
        <w:ind w:firstLine="643" w:firstLineChars="200"/>
        <w:rPr>
          <w:rFonts w:hint="default" w:ascii="Times New Roman" w:hAnsi="Times New Roman" w:eastAsia="楷体_GB2312" w:cs="Times New Roman"/>
          <w:b/>
          <w:bCs/>
          <w:sz w:val="32"/>
          <w:szCs w:val="32"/>
          <w:lang w:val="en-US" w:eastAsia="zh-Han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eastAsia="zh-Hans"/>
        </w:rPr>
        <w:t>预算执行进度与绩效指标总体完成率偏差</w:t>
      </w:r>
    </w:p>
    <w:p w14:paraId="57CD9149">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2024年自治区安全生产及应急专项资金</w:t>
      </w:r>
      <w:r>
        <w:rPr>
          <w:rFonts w:hint="default" w:ascii="Times New Roman" w:hAnsi="Times New Roman" w:eastAsia="仿宋_GB2312" w:cs="Times New Roman"/>
          <w:sz w:val="32"/>
          <w:szCs w:val="32"/>
          <w:highlight w:val="none"/>
        </w:rPr>
        <w:t>项目年初预算</w:t>
      </w:r>
      <w:r>
        <w:rPr>
          <w:rFonts w:hint="eastAsia" w:ascii="Times New Roman" w:hAnsi="Times New Roman" w:eastAsia="仿宋_GB2312" w:cs="Times New Roman"/>
          <w:sz w:val="32"/>
          <w:szCs w:val="32"/>
          <w:highlight w:val="none"/>
          <w:lang w:val="en-US" w:eastAsia="zh-CN"/>
        </w:rPr>
        <w:t>4300</w:t>
      </w:r>
      <w:r>
        <w:rPr>
          <w:rFonts w:hint="default" w:ascii="Times New Roman" w:hAnsi="Times New Roman" w:eastAsia="仿宋_GB2312" w:cs="Times New Roman"/>
          <w:sz w:val="32"/>
          <w:szCs w:val="32"/>
          <w:highlight w:val="none"/>
        </w:rPr>
        <w:t>万元，全年预算</w:t>
      </w:r>
      <w:r>
        <w:rPr>
          <w:rFonts w:hint="eastAsia" w:ascii="Times New Roman" w:hAnsi="Times New Roman" w:eastAsia="仿宋_GB2312" w:cs="Times New Roman"/>
          <w:sz w:val="32"/>
          <w:szCs w:val="32"/>
          <w:highlight w:val="none"/>
          <w:lang w:val="en-US" w:eastAsia="zh-CN"/>
        </w:rPr>
        <w:t>4300</w:t>
      </w:r>
      <w:r>
        <w:rPr>
          <w:rFonts w:hint="default" w:ascii="Times New Roman" w:hAnsi="Times New Roman" w:eastAsia="仿宋_GB2312" w:cs="Times New Roman"/>
          <w:sz w:val="32"/>
          <w:szCs w:val="32"/>
          <w:highlight w:val="none"/>
        </w:rPr>
        <w:t>万元，实际支出</w:t>
      </w:r>
      <w:r>
        <w:rPr>
          <w:rFonts w:hint="default" w:ascii="Times New Roman" w:hAnsi="Times New Roman" w:eastAsia="仿宋_GB2312" w:cs="Times New Roman"/>
          <w:sz w:val="32"/>
          <w:szCs w:val="32"/>
          <w:highlight w:val="none"/>
          <w:lang w:val="en-US" w:eastAsia="zh-CN"/>
        </w:rPr>
        <w:t>4044.25</w:t>
      </w:r>
      <w:r>
        <w:rPr>
          <w:rFonts w:hint="default" w:ascii="Times New Roman" w:hAnsi="Times New Roman" w:eastAsia="仿宋_GB2312" w:cs="Times New Roman"/>
          <w:sz w:val="32"/>
          <w:szCs w:val="32"/>
          <w:highlight w:val="none"/>
        </w:rPr>
        <w:t>万元，预算执行率为</w:t>
      </w:r>
      <w:r>
        <w:rPr>
          <w:rFonts w:hint="default" w:ascii="Times New Roman" w:hAnsi="Times New Roman" w:eastAsia="仿宋_GB2312" w:cs="Times New Roman"/>
          <w:sz w:val="32"/>
          <w:szCs w:val="32"/>
          <w:highlight w:val="none"/>
          <w:lang w:val="en-US" w:eastAsia="zh-CN"/>
        </w:rPr>
        <w:t>94.05%</w:t>
      </w:r>
      <w:r>
        <w:rPr>
          <w:rFonts w:hint="default" w:ascii="Times New Roman" w:hAnsi="Times New Roman" w:eastAsia="仿宋_GB2312" w:cs="Times New Roman"/>
          <w:sz w:val="32"/>
          <w:szCs w:val="32"/>
          <w:highlight w:val="none"/>
        </w:rPr>
        <w:t>，项目绩效指标总体完成率为</w:t>
      </w:r>
      <w:r>
        <w:rPr>
          <w:rFonts w:hint="eastAsia" w:ascii="Times New Roman" w:hAnsi="Times New Roman" w:eastAsia="仿宋_GB2312" w:cs="Times New Roman"/>
          <w:sz w:val="32"/>
          <w:szCs w:val="32"/>
          <w:highlight w:val="none"/>
          <w:lang w:val="en-US" w:eastAsia="zh-CN"/>
        </w:rPr>
        <w:t>102.78</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Hans"/>
        </w:rPr>
        <w:t>总体</w:t>
      </w:r>
      <w:r>
        <w:rPr>
          <w:rFonts w:hint="default" w:ascii="Times New Roman" w:hAnsi="Times New Roman" w:eastAsia="仿宋_GB2312" w:cs="Times New Roman"/>
          <w:sz w:val="32"/>
          <w:szCs w:val="32"/>
          <w:highlight w:val="none"/>
        </w:rPr>
        <w:t>偏差率为</w:t>
      </w:r>
      <w:r>
        <w:rPr>
          <w:rFonts w:hint="eastAsia" w:ascii="Times New Roman" w:hAnsi="Times New Roman" w:eastAsia="仿宋_GB2312" w:cs="Times New Roman"/>
          <w:sz w:val="32"/>
          <w:szCs w:val="32"/>
          <w:highlight w:val="none"/>
          <w:lang w:val="en-US" w:eastAsia="zh-CN"/>
        </w:rPr>
        <w:t>8.73</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eastAsia="zh-Hans"/>
        </w:rPr>
        <w:t>偏差</w:t>
      </w:r>
      <w:r>
        <w:rPr>
          <w:rFonts w:hint="default" w:ascii="Times New Roman" w:hAnsi="Times New Roman" w:eastAsia="仿宋_GB2312" w:cs="Times New Roman"/>
          <w:sz w:val="32"/>
          <w:szCs w:val="32"/>
          <w:highlight w:val="none"/>
        </w:rPr>
        <w:t>原因</w:t>
      </w:r>
      <w:r>
        <w:rPr>
          <w:rFonts w:hint="eastAsia" w:ascii="Times New Roman" w:hAnsi="Times New Roman" w:eastAsia="仿宋_GB2312" w:cs="Times New Roman"/>
          <w:sz w:val="32"/>
          <w:szCs w:val="32"/>
          <w:highlight w:val="none"/>
          <w:lang w:val="en-US" w:eastAsia="zh-CN"/>
        </w:rPr>
        <w:t>为</w:t>
      </w:r>
      <w:r>
        <w:rPr>
          <w:rFonts w:hint="default" w:ascii="Times New Roman" w:hAnsi="Times New Roman" w:eastAsia="仿宋_GB2312" w:cs="Times New Roman"/>
          <w:sz w:val="32"/>
          <w:szCs w:val="32"/>
          <w:highlight w:val="none"/>
          <w:lang w:val="en-US" w:eastAsia="zh-CN"/>
        </w:rPr>
        <w:t>根据2024年工作实际情况，增加了1场宣传活动</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2次培训次数，</w:t>
      </w:r>
      <w:r>
        <w:rPr>
          <w:rFonts w:hint="eastAsia" w:ascii="Times New Roman" w:hAnsi="Times New Roman" w:eastAsia="仿宋_GB2312" w:cs="Times New Roman"/>
          <w:sz w:val="32"/>
          <w:szCs w:val="32"/>
          <w:highlight w:val="none"/>
          <w:lang w:val="en-US" w:eastAsia="zh-CN"/>
        </w:rPr>
        <w:t>导致存在偏差</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eastAsia="zh-Hans"/>
        </w:rPr>
        <w:t>改进</w:t>
      </w:r>
      <w:r>
        <w:rPr>
          <w:rFonts w:hint="default" w:ascii="Times New Roman" w:hAnsi="Times New Roman" w:eastAsia="仿宋_GB2312" w:cs="Times New Roman"/>
          <w:sz w:val="32"/>
          <w:szCs w:val="32"/>
          <w:highlight w:val="none"/>
        </w:rPr>
        <w:t>措施</w:t>
      </w:r>
      <w:r>
        <w:rPr>
          <w:rFonts w:hint="eastAsia" w:ascii="Times New Roman" w:hAnsi="Times New Roman" w:eastAsia="仿宋_GB2312" w:cs="Times New Roman"/>
          <w:sz w:val="32"/>
          <w:szCs w:val="32"/>
          <w:highlight w:val="none"/>
          <w:lang w:val="en-US" w:eastAsia="zh-CN"/>
        </w:rPr>
        <w:t>为</w:t>
      </w:r>
      <w:r>
        <w:rPr>
          <w:rFonts w:hint="eastAsia" w:ascii="Times New Roman" w:hAnsi="Times New Roman" w:eastAsia="仿宋_GB2312" w:cs="Times New Roman"/>
          <w:sz w:val="32"/>
          <w:szCs w:val="32"/>
          <w:lang w:val="en-US" w:eastAsia="zh-CN"/>
        </w:rPr>
        <w:t>进一步总结经验做法，</w:t>
      </w:r>
      <w:r>
        <w:rPr>
          <w:rFonts w:hint="default" w:ascii="Times New Roman" w:hAnsi="Times New Roman" w:eastAsia="仿宋_GB2312" w:cs="Times New Roman"/>
          <w:sz w:val="32"/>
          <w:szCs w:val="32"/>
          <w:highlight w:val="none"/>
          <w:lang w:val="en-US" w:eastAsia="zh-CN"/>
        </w:rPr>
        <w:t>在以后年度中</w:t>
      </w:r>
      <w:r>
        <w:rPr>
          <w:rFonts w:hint="eastAsia" w:ascii="Times New Roman" w:hAnsi="Times New Roman" w:eastAsia="仿宋_GB2312" w:cs="Times New Roman"/>
          <w:sz w:val="32"/>
          <w:szCs w:val="32"/>
          <w:lang w:val="en-US" w:eastAsia="zh-CN"/>
        </w:rPr>
        <w:t>参照过往完成情况，</w:t>
      </w:r>
      <w:r>
        <w:rPr>
          <w:rFonts w:hint="default" w:ascii="Times New Roman" w:hAnsi="Times New Roman" w:eastAsia="仿宋_GB2312" w:cs="Times New Roman"/>
          <w:sz w:val="32"/>
          <w:szCs w:val="32"/>
          <w:highlight w:val="none"/>
          <w:lang w:val="en-US" w:eastAsia="zh-CN"/>
        </w:rPr>
        <w:t>精准设置目标</w:t>
      </w:r>
      <w:r>
        <w:rPr>
          <w:rFonts w:hint="default" w:ascii="Times New Roman" w:hAnsi="Times New Roman" w:eastAsia="仿宋_GB2312" w:cs="Times New Roman"/>
          <w:sz w:val="32"/>
          <w:szCs w:val="32"/>
          <w:highlight w:val="none"/>
        </w:rPr>
        <w:t>。</w:t>
      </w:r>
    </w:p>
    <w:p w14:paraId="5DED8768">
      <w:pPr>
        <w:spacing w:line="560" w:lineRule="exact"/>
        <w:ind w:firstLine="640" w:firstLineChars="200"/>
        <w:rPr>
          <w:rStyle w:val="18"/>
          <w:rFonts w:hint="default" w:ascii="Times New Roman" w:hAnsi="Times New Roman" w:cs="Times New Roman"/>
          <w:color w:val="auto"/>
        </w:rPr>
      </w:pPr>
      <w:r>
        <w:rPr>
          <w:rFonts w:hint="eastAsia" w:ascii="Times New Roman" w:hAnsi="Times New Roman" w:eastAsia="黑体" w:cs="Times New Roman"/>
          <w:sz w:val="32"/>
          <w:szCs w:val="32"/>
          <w:lang w:val="en-US" w:eastAsia="zh-CN"/>
        </w:rPr>
        <w:t>五</w:t>
      </w:r>
      <w:r>
        <w:rPr>
          <w:rFonts w:hint="eastAsia" w:eastAsia="仿宋_GB2312" w:cs="Times New Roman"/>
          <w:b/>
          <w:bCs/>
          <w:sz w:val="32"/>
          <w:szCs w:val="32"/>
          <w:lang w:val="en-US" w:eastAsia="zh-CN"/>
        </w:rPr>
        <w:t>、</w:t>
      </w:r>
      <w:r>
        <w:rPr>
          <w:rFonts w:hint="default" w:ascii="Times New Roman" w:hAnsi="Times New Roman" w:eastAsia="黑体" w:cs="Times New Roman"/>
          <w:sz w:val="32"/>
          <w:szCs w:val="32"/>
        </w:rPr>
        <w:t>主要经验及做法、存在的问题及原因分析</w:t>
      </w:r>
    </w:p>
    <w:p w14:paraId="5F9FADCA">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14:paraId="7741F14E">
      <w:pPr>
        <w:pStyle w:val="10"/>
        <w:spacing w:before="0" w:after="0" w:line="560" w:lineRule="exact"/>
        <w:ind w:firstLine="640" w:firstLineChars="200"/>
        <w:jc w:val="left"/>
        <w:rPr>
          <w:rFonts w:hint="default" w:ascii="Times New Roman" w:hAnsi="Times New Roman" w:eastAsia="仿宋_GB2312" w:cs="Times New Roman"/>
          <w:b w:val="0"/>
          <w:bCs w:val="0"/>
          <w:kern w:val="2"/>
          <w:highlight w:val="none"/>
        </w:rPr>
      </w:pPr>
      <w:r>
        <w:rPr>
          <w:rFonts w:hint="default" w:ascii="Times New Roman" w:hAnsi="Times New Roman" w:eastAsia="仿宋_GB2312" w:cs="Times New Roman"/>
          <w:b w:val="0"/>
          <w:bCs w:val="0"/>
          <w:kern w:val="2"/>
          <w:highlight w:val="none"/>
        </w:rPr>
        <w:t>为确保2024年自治区安全生产及应急专项资金项目高效实施，新疆维吾尔自治区应急管理厅机关坚持规划引领与全程管控相结合，提前制定科学实施方案，细化分解“两委三部”会议、执法检查覆盖96个县市区、基地运维、7套信息系统保障等</w:t>
      </w:r>
      <w:r>
        <w:rPr>
          <w:rFonts w:hint="eastAsia" w:ascii="Times New Roman" w:hAnsi="Times New Roman" w:eastAsia="仿宋_GB2312" w:cs="Times New Roman"/>
          <w:b w:val="0"/>
          <w:bCs w:val="0"/>
          <w:kern w:val="2"/>
          <w:highlight w:val="none"/>
          <w:lang w:val="en-US" w:eastAsia="zh-CN"/>
        </w:rPr>
        <w:t>18</w:t>
      </w:r>
      <w:r>
        <w:rPr>
          <w:rFonts w:hint="default" w:ascii="Times New Roman" w:hAnsi="Times New Roman" w:eastAsia="仿宋_GB2312" w:cs="Times New Roman"/>
          <w:b w:val="0"/>
          <w:bCs w:val="0"/>
          <w:kern w:val="2"/>
          <w:highlight w:val="none"/>
        </w:rPr>
        <w:t>项指标，明确目标可执行性。在项目执行阶段，通过建立定期监督与检查机制，严格遵循项目管理规范要求，确保各项任务有序推进。同时，强化资金使用的审核把关，依据资金使用范围对每一笔支出进行严格审核，切实保障资金精准用于隐患排查、装备采购等既定用途。在项目完成后，做好受益群众民意调查及项目防范工作</w:t>
      </w:r>
      <w:r>
        <w:rPr>
          <w:rFonts w:hint="eastAsia" w:ascii="Times New Roman" w:hAnsi="Times New Roman" w:eastAsia="仿宋_GB2312" w:cs="Times New Roman"/>
          <w:b w:val="0"/>
          <w:bCs w:val="0"/>
          <w:kern w:val="2"/>
          <w:highlight w:val="none"/>
          <w:lang w:eastAsia="zh-CN"/>
        </w:rPr>
        <w:t>。</w:t>
      </w:r>
    </w:p>
    <w:p w14:paraId="174F8995">
      <w:pPr>
        <w:pStyle w:val="10"/>
        <w:spacing w:before="0" w:after="0" w:line="560" w:lineRule="exact"/>
        <w:ind w:firstLine="640" w:firstLineChars="200"/>
        <w:jc w:val="left"/>
        <w:rPr>
          <w:rFonts w:hint="eastAsia" w:ascii="Times New Roman" w:hAnsi="Times New Roman" w:eastAsia="仿宋_GB2312" w:cs="Times New Roman"/>
          <w:b w:val="0"/>
          <w:bCs w:val="0"/>
          <w:kern w:val="2"/>
          <w:highlight w:val="yellow"/>
          <w:lang w:eastAsia="zh-CN"/>
        </w:rPr>
      </w:pPr>
      <w:r>
        <w:rPr>
          <w:rFonts w:hint="default" w:ascii="Times New Roman" w:hAnsi="Times New Roman" w:eastAsia="仿宋_GB2312" w:cs="Times New Roman"/>
          <w:b w:val="0"/>
          <w:bCs w:val="0"/>
          <w:kern w:val="2"/>
          <w:highlight w:val="none"/>
        </w:rPr>
        <w:t>项目实施中强化动态监督，通过月度调度、季度通报实时跟踪进度，严格遵循“先实施、后验收、再拨付”原则，财政、纪检等部门协同监管资金使用全流程，全年预算4300万元实际执行4044.25万元，执行率达94.05%，有效保障资金精准投向隐患排查、装备采购、信息化建设等重点领域，杜绝挤占挪用风险。同步实施项目后续风险防范措施，持续巩固实施成效，形成长效管理闭环。</w:t>
      </w:r>
    </w:p>
    <w:p w14:paraId="46599967">
      <w:pPr>
        <w:keepNext/>
        <w:keepLines/>
        <w:numPr>
          <w:ilvl w:val="0"/>
          <w:numId w:val="0"/>
        </w:numPr>
        <w:spacing w:line="560" w:lineRule="exact"/>
        <w:ind w:firstLine="643" w:firstLineChars="200"/>
        <w:rPr>
          <w:rFonts w:hint="default" w:ascii="Times New Roman" w:hAnsi="Times New Roman" w:eastAsia="楷体_GB2312" w:cs="Times New Roman"/>
          <w:b/>
          <w:bCs/>
          <w:sz w:val="32"/>
          <w:szCs w:val="32"/>
        </w:rPr>
      </w:pPr>
      <w:r>
        <w:rPr>
          <w:rFonts w:hint="eastAsia" w:ascii="Times New Roman" w:hAnsi="Times New Roman" w:eastAsia="楷体_GB2312" w:cs="Times New Roman"/>
          <w:b/>
          <w:bCs/>
          <w:kern w:val="2"/>
          <w:sz w:val="32"/>
          <w:szCs w:val="32"/>
          <w:lang w:val="en-US" w:eastAsia="zh-CN" w:bidi="ar-SA"/>
        </w:rPr>
        <w:t>（二）</w:t>
      </w:r>
      <w:r>
        <w:rPr>
          <w:rFonts w:hint="default" w:ascii="Times New Roman" w:hAnsi="Times New Roman" w:eastAsia="楷体_GB2312" w:cs="Times New Roman"/>
          <w:b/>
          <w:bCs/>
          <w:sz w:val="32"/>
          <w:szCs w:val="32"/>
        </w:rPr>
        <w:t>存在的问题及原因分析</w:t>
      </w:r>
    </w:p>
    <w:p w14:paraId="47643AFE">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1.相关绩效管理方面专业知识的系统性学习有待加强。项目实施过程中，绩效目标设置存在不足，部分任务的实际执行效果与预期目标的匹配度需进一步提升</w:t>
      </w:r>
      <w:r>
        <w:rPr>
          <w:rFonts w:hint="eastAsia" w:eastAsia="仿宋_GB2312" w:cs="Times New Roman"/>
          <w:sz w:val="32"/>
          <w:szCs w:val="32"/>
          <w:highlight w:val="none"/>
          <w:lang w:val="en-US" w:eastAsia="zh-CN"/>
        </w:rPr>
        <w:t>。主要原因是缺乏全流程绩效管理培训，导致目标设定时未能充分结合项目复杂性和突发应急需求。</w:t>
      </w:r>
      <w:r>
        <w:rPr>
          <w:rFonts w:hint="default" w:ascii="Times New Roman" w:hAnsi="Times New Roman" w:eastAsia="仿宋_GB2312" w:cs="Times New Roman"/>
          <w:sz w:val="32"/>
          <w:szCs w:val="32"/>
          <w:highlight w:val="none"/>
          <w:lang w:val="en-US" w:eastAsia="zh-CN"/>
        </w:rPr>
        <w:t>各项指标的设置要进一步优化、完善，主要在细化、量化上改进。在绩效自评过程中，由于部分人员缺乏相关绩效管理专业知识，自评价工作还存在自我审定的局限性，影响评价质量。</w:t>
      </w:r>
    </w:p>
    <w:p w14:paraId="28BEBD66">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2.专业队伍稳定性不足影响管理效能</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因岗位轮换、人员调动等因素，绩效管理队伍的专业性和连续性受到一定影响，部分工作存在经验断层、标准执行不一致等问题。根源在于未建立长效的岗位培训机制和规范化的交接流程，导致关键环节的衔接效率降低。</w:t>
      </w:r>
    </w:p>
    <w:p w14:paraId="332BFEBD">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3.社会效益评估深度仍需拓展</w:t>
      </w:r>
      <w:r>
        <w:rPr>
          <w:rFonts w:hint="eastAsia" w:eastAsia="仿宋_GB2312" w:cs="Times New Roman"/>
          <w:sz w:val="32"/>
          <w:szCs w:val="32"/>
          <w:highlight w:val="none"/>
          <w:lang w:val="en-US" w:eastAsia="zh-CN"/>
        </w:rPr>
        <w:t>。项目成效评价偏重于任务完成数量和直接产出，对受益群体的实际获得感、隐患治理长效性等社会效益的综合分析不够深入。原因在于未充分融入多元化的满意度调查和第三方评估机制，评价维度较为单一，难以全面反映项目实施的社会价值。</w:t>
      </w:r>
    </w:p>
    <w:p w14:paraId="581D1A14">
      <w:pPr>
        <w:spacing w:line="560" w:lineRule="exact"/>
        <w:ind w:firstLine="640" w:firstLineChars="20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六</w:t>
      </w:r>
      <w:r>
        <w:rPr>
          <w:rFonts w:hint="eastAsia" w:eastAsia="黑体" w:cs="Times New Roman"/>
          <w:sz w:val="32"/>
          <w:szCs w:val="32"/>
          <w:lang w:val="en-US" w:eastAsia="zh-CN"/>
        </w:rPr>
        <w:t>、</w:t>
      </w:r>
      <w:r>
        <w:rPr>
          <w:rFonts w:hint="default" w:ascii="Times New Roman" w:hAnsi="Times New Roman" w:eastAsia="黑体" w:cs="Times New Roman"/>
          <w:sz w:val="32"/>
          <w:szCs w:val="32"/>
        </w:rPr>
        <w:t>有关建议</w:t>
      </w:r>
    </w:p>
    <w:p w14:paraId="5E3DE754">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w:t>
      </w:r>
      <w:r>
        <w:rPr>
          <w:rFonts w:hint="eastAsia" w:eastAsia="仿宋_GB2312" w:cs="Times New Roman"/>
          <w:sz w:val="32"/>
          <w:szCs w:val="32"/>
          <w:highlight w:val="none"/>
          <w:lang w:val="en-US" w:eastAsia="zh-CN"/>
        </w:rPr>
        <w:t>部门</w:t>
      </w:r>
      <w:r>
        <w:rPr>
          <w:rFonts w:hint="default" w:ascii="Times New Roman" w:hAnsi="Times New Roman" w:eastAsia="仿宋_GB2312" w:cs="Times New Roman"/>
          <w:sz w:val="32"/>
          <w:szCs w:val="32"/>
          <w:highlight w:val="none"/>
          <w:lang w:val="en-US" w:eastAsia="zh-CN"/>
        </w:rPr>
        <w:t>绩效人员水平。</w:t>
      </w:r>
    </w:p>
    <w:p w14:paraId="1697160D">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2.专门制定绩效管理岗位职责清单与交接规范，明确人员“定职、定岗、定责”，减少因轮岗导致的工作断层，进一步提升我</w:t>
      </w:r>
      <w:r>
        <w:rPr>
          <w:rFonts w:hint="eastAsia" w:eastAsia="仿宋_GB2312" w:cs="Times New Roman"/>
          <w:sz w:val="32"/>
          <w:szCs w:val="32"/>
          <w:highlight w:val="none"/>
          <w:lang w:val="en-US" w:eastAsia="zh-CN"/>
        </w:rPr>
        <w:t>部门</w:t>
      </w:r>
      <w:r>
        <w:rPr>
          <w:rFonts w:hint="default" w:ascii="Times New Roman" w:hAnsi="Times New Roman" w:eastAsia="仿宋_GB2312" w:cs="Times New Roman"/>
          <w:sz w:val="32"/>
          <w:szCs w:val="32"/>
          <w:highlight w:val="none"/>
          <w:lang w:val="en-US" w:eastAsia="zh-CN"/>
        </w:rPr>
        <w:t>绩效管理工作业务水平，扎实做好绩效管理工作。</w:t>
      </w:r>
    </w:p>
    <w:p w14:paraId="387A7725">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3.进一步规范</w:t>
      </w:r>
      <w:r>
        <w:rPr>
          <w:rFonts w:hint="eastAsia" w:eastAsia="仿宋_GB2312" w:cs="Times New Roman"/>
          <w:sz w:val="32"/>
          <w:szCs w:val="32"/>
          <w:highlight w:val="none"/>
          <w:lang w:val="en-US" w:eastAsia="zh-CN"/>
        </w:rPr>
        <w:t>项目</w:t>
      </w:r>
      <w:r>
        <w:rPr>
          <w:rFonts w:hint="default" w:ascii="Times New Roman" w:hAnsi="Times New Roman" w:eastAsia="仿宋_GB2312" w:cs="Times New Roman"/>
          <w:sz w:val="32"/>
          <w:szCs w:val="32"/>
          <w:highlight w:val="none"/>
          <w:lang w:val="en-US" w:eastAsia="zh-CN"/>
        </w:rPr>
        <w:t>管理全流程执行标准。在项目前期强化可行性研究与历史数据分析，细化实施方案（如明确隐患排查、装备采购的优先级）；严格按财政资金管理制度审核支出，将招投标、验收等环节纳入信息化监管平台，确保资金执行率与合规性双提升。</w:t>
      </w:r>
    </w:p>
    <w:p w14:paraId="3AB05DC2">
      <w:pPr>
        <w:spacing w:line="560" w:lineRule="exact"/>
        <w:ind w:firstLine="640" w:firstLineChars="20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七</w:t>
      </w:r>
      <w:r>
        <w:rPr>
          <w:rFonts w:hint="eastAsia"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0" w:name="page8"/>
      <w:bookmarkEnd w:id="0"/>
      <w:r>
        <w:rPr>
          <w:rFonts w:hint="default" w:ascii="Times New Roman" w:hAnsi="Times New Roman" w:eastAsia="黑体" w:cs="Times New Roman"/>
          <w:sz w:val="32"/>
          <w:szCs w:val="32"/>
        </w:rPr>
        <w:t>明的问题</w:t>
      </w:r>
    </w:p>
    <w:p w14:paraId="078F1386">
      <w:pPr>
        <w:pStyle w:val="13"/>
        <w:spacing w:after="0" w:line="560" w:lineRule="exact"/>
        <w:ind w:left="0" w:leftChars="0" w:firstLine="640"/>
        <w:rPr>
          <w:rFonts w:hint="default" w:ascii="Times New Roman" w:hAnsi="Times New Roman" w:eastAsia="仿宋_GB2312" w:cs="Times New Roman"/>
          <w:sz w:val="32"/>
          <w:szCs w:val="32"/>
          <w:lang w:eastAsia="zh-Hans"/>
        </w:rPr>
      </w:pPr>
      <w:r>
        <w:rPr>
          <w:rFonts w:hint="default" w:ascii="Times New Roman" w:hAnsi="Times New Roman" w:eastAsia="仿宋_GB2312" w:cs="Times New Roman"/>
          <w:sz w:val="32"/>
          <w:szCs w:val="32"/>
          <w:lang w:eastAsia="zh-Hans"/>
        </w:rPr>
        <w:t>本项目无其他需说明的问题。</w:t>
      </w:r>
    </w:p>
    <w:p w14:paraId="3AD50DE0">
      <w:pPr>
        <w:spacing w:after="0" w:line="240" w:lineRule="auto"/>
        <w:ind w:left="0" w:leftChars="0"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br w:type="page"/>
      </w:r>
    </w:p>
    <w:p w14:paraId="0CDF870D">
      <w:pPr>
        <w:spacing w:after="0" w:line="240" w:lineRule="auto"/>
        <w:ind w:left="0" w:leftChars="0" w:firstLineChars="0"/>
        <w:jc w:val="left"/>
        <w:rPr>
          <w:rFonts w:hint="default" w:ascii="Times New Roman" w:hAnsi="Times New Roman" w:eastAsia="宋体" w:cs="Times New Roman"/>
          <w:kern w:val="2"/>
          <w:sz w:val="21"/>
          <w:szCs w:val="24"/>
          <w:lang w:val="en-US" w:eastAsia="zh-CN" w:bidi="ar-SA"/>
        </w:rPr>
        <w:sectPr>
          <w:pgSz w:w="11906" w:h="16838"/>
          <w:pgMar w:top="1440" w:right="1558" w:bottom="1440" w:left="1800" w:header="851" w:footer="992" w:gutter="0"/>
          <w:cols w:space="425" w:num="1"/>
          <w:docGrid w:type="lines" w:linePitch="312" w:charSpace="0"/>
        </w:sectPr>
      </w:pPr>
    </w:p>
    <w:p w14:paraId="1AF62F79">
      <w:pPr>
        <w:spacing w:after="0" w:line="240" w:lineRule="auto"/>
        <w:ind w:left="0" w:leftChars="0" w:firstLineChars="0"/>
        <w:jc w:val="left"/>
        <w:rPr>
          <w:rFonts w:hint="default" w:ascii="Times New Roman" w:hAnsi="Times New Roman" w:eastAsia="宋体" w:cs="Times New Roman"/>
          <w:kern w:val="2"/>
          <w:sz w:val="21"/>
          <w:szCs w:val="24"/>
          <w:lang w:val="en-US" w:eastAsia="zh-CN" w:bidi="ar-SA"/>
        </w:rPr>
      </w:pPr>
    </w:p>
    <w:p w14:paraId="3B939547">
      <w:pPr>
        <w:spacing w:line="600" w:lineRule="exact"/>
        <w:rPr>
          <w:rFonts w:hint="eastAsia" w:ascii="Times New Roman" w:hAnsi="Times New Roman" w:eastAsia="黑体" w:cs="Times New Roman"/>
          <w:sz w:val="32"/>
          <w:szCs w:val="32"/>
          <w:highlight w:val="none"/>
          <w:lang w:val="en-US" w:eastAsia="zh-CN"/>
        </w:rPr>
      </w:pPr>
      <w:r>
        <w:rPr>
          <w:rFonts w:hint="eastAsia" w:ascii="Times New Roman" w:hAnsi="Times New Roman" w:eastAsia="黑体" w:cs="Times New Roman"/>
          <w:sz w:val="32"/>
          <w:szCs w:val="32"/>
          <w:lang w:val="en-US" w:eastAsia="zh-CN"/>
        </w:rPr>
        <w:t>附件1</w:t>
      </w:r>
    </w:p>
    <w:p w14:paraId="4F6B37B4">
      <w:pPr>
        <w:pStyle w:val="19"/>
        <w:ind w:firstLine="562"/>
        <w:jc w:val="center"/>
        <w:rPr>
          <w:rFonts w:hint="eastAsia" w:ascii="Times New Roman" w:hAnsi="Times New Roman" w:eastAsia="仿宋_GB2312" w:cs="仿宋_GB2312"/>
          <w:sz w:val="28"/>
          <w:szCs w:val="40"/>
          <w:highlight w:val="none"/>
        </w:rPr>
      </w:pPr>
      <w:bookmarkStart w:id="1" w:name="_Toc26499_WPSOffice_Level2"/>
      <w:bookmarkStart w:id="2" w:name="_Toc30064_WPSOffice_Level1"/>
      <w:r>
        <w:rPr>
          <w:rFonts w:hint="eastAsia" w:ascii="Times New Roman" w:hAnsi="Times New Roman" w:eastAsia="仿宋_GB2312" w:cs="仿宋_GB2312"/>
          <w:b/>
          <w:bCs/>
          <w:sz w:val="28"/>
          <w:szCs w:val="40"/>
          <w:highlight w:val="none"/>
          <w:lang w:val="en-US" w:eastAsia="zh-CN"/>
        </w:rPr>
        <w:t>2024年自治区安全生产及应急专项资金</w:t>
      </w:r>
      <w:r>
        <w:rPr>
          <w:rFonts w:hint="eastAsia" w:ascii="Times New Roman" w:hAnsi="Times New Roman" w:eastAsia="仿宋_GB2312" w:cs="仿宋_GB2312"/>
          <w:b/>
          <w:bCs/>
          <w:sz w:val="28"/>
          <w:szCs w:val="40"/>
          <w:highlight w:val="none"/>
        </w:rPr>
        <w:t>项目绩效评价指标体系及综合评分表</w:t>
      </w:r>
      <w:bookmarkEnd w:id="1"/>
      <w:bookmarkEnd w:id="2"/>
    </w:p>
    <w:tbl>
      <w:tblPr>
        <w:tblStyle w:val="14"/>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1002"/>
        <w:gridCol w:w="1000"/>
        <w:gridCol w:w="1071"/>
        <w:gridCol w:w="1725"/>
        <w:gridCol w:w="5216"/>
        <w:gridCol w:w="5"/>
        <w:gridCol w:w="1299"/>
        <w:gridCol w:w="1365"/>
      </w:tblGrid>
      <w:tr w14:paraId="4F107E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2" w:hRule="atLeast"/>
          <w:tblHeader/>
          <w:jc w:val="center"/>
        </w:trPr>
        <w:tc>
          <w:tcPr>
            <w:tcW w:w="395" w:type="pct"/>
            <w:shd w:val="clear" w:color="auto" w:fill="FFFFFF"/>
            <w:vAlign w:val="center"/>
          </w:tcPr>
          <w:p w14:paraId="61AA652F">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一级指标</w:t>
            </w:r>
          </w:p>
        </w:tc>
        <w:tc>
          <w:tcPr>
            <w:tcW w:w="394" w:type="pct"/>
            <w:shd w:val="clear" w:color="auto" w:fill="FFFFFF"/>
            <w:vAlign w:val="center"/>
          </w:tcPr>
          <w:p w14:paraId="3CCC7E8D">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二级指标</w:t>
            </w:r>
          </w:p>
        </w:tc>
        <w:tc>
          <w:tcPr>
            <w:tcW w:w="422" w:type="pct"/>
            <w:shd w:val="clear" w:color="auto" w:fill="FFFFFF"/>
            <w:vAlign w:val="center"/>
          </w:tcPr>
          <w:p w14:paraId="5EABFBA4">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三级指标</w:t>
            </w:r>
          </w:p>
        </w:tc>
        <w:tc>
          <w:tcPr>
            <w:tcW w:w="680" w:type="pct"/>
            <w:shd w:val="clear" w:color="auto" w:fill="FFFFFF"/>
            <w:vAlign w:val="center"/>
          </w:tcPr>
          <w:p w14:paraId="5175A39E">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指标解释</w:t>
            </w:r>
          </w:p>
        </w:tc>
        <w:tc>
          <w:tcPr>
            <w:tcW w:w="2056" w:type="pct"/>
            <w:shd w:val="clear" w:color="auto" w:fill="FFFFFF"/>
            <w:vAlign w:val="center"/>
          </w:tcPr>
          <w:p w14:paraId="130905C5">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指标说明</w:t>
            </w:r>
          </w:p>
        </w:tc>
        <w:tc>
          <w:tcPr>
            <w:tcW w:w="514" w:type="pct"/>
            <w:gridSpan w:val="2"/>
            <w:shd w:val="clear" w:color="auto" w:fill="FFFFFF"/>
            <w:vAlign w:val="center"/>
          </w:tcPr>
          <w:p w14:paraId="43943279">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权重</w:t>
            </w:r>
          </w:p>
        </w:tc>
        <w:tc>
          <w:tcPr>
            <w:tcW w:w="538" w:type="pct"/>
            <w:shd w:val="clear" w:color="auto" w:fill="FFFFFF"/>
            <w:vAlign w:val="center"/>
          </w:tcPr>
          <w:p w14:paraId="47675841">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得分</w:t>
            </w:r>
          </w:p>
        </w:tc>
      </w:tr>
      <w:tr w14:paraId="507B52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395" w:type="pct"/>
            <w:vMerge w:val="restart"/>
            <w:shd w:val="clear" w:color="auto" w:fill="FFFFFF"/>
            <w:vAlign w:val="center"/>
          </w:tcPr>
          <w:p w14:paraId="30DD2841">
            <w:pPr>
              <w:widowControl/>
              <w:spacing w:line="0" w:lineRule="atLeast"/>
              <w:jc w:val="center"/>
              <w:rPr>
                <w:rFonts w:hint="default" w:ascii="Times New Roman" w:hAnsi="Times New Roman" w:eastAsia="仿宋_GB2312" w:cs="Times New Roman"/>
                <w:color w:val="000000"/>
                <w:kern w:val="0"/>
                <w:sz w:val="18"/>
                <w:szCs w:val="18"/>
                <w:highlight w:val="none"/>
              </w:rPr>
            </w:pPr>
          </w:p>
          <w:p w14:paraId="5C999CB4">
            <w:pPr>
              <w:widowControl/>
              <w:spacing w:line="0" w:lineRule="atLeast"/>
              <w:jc w:val="center"/>
              <w:rPr>
                <w:rFonts w:hint="default" w:ascii="Times New Roman" w:hAnsi="Times New Roman" w:eastAsia="仿宋_GB2312" w:cs="Times New Roman"/>
                <w:color w:val="000000"/>
                <w:kern w:val="0"/>
                <w:sz w:val="18"/>
                <w:szCs w:val="18"/>
                <w:highlight w:val="none"/>
              </w:rPr>
            </w:pPr>
          </w:p>
          <w:p w14:paraId="5F6B9081">
            <w:pPr>
              <w:widowControl/>
              <w:spacing w:line="0" w:lineRule="atLeast"/>
              <w:jc w:val="center"/>
              <w:rPr>
                <w:rFonts w:hint="default" w:ascii="Times New Roman" w:hAnsi="Times New Roman" w:eastAsia="仿宋_GB2312" w:cs="Times New Roman"/>
                <w:color w:val="000000"/>
                <w:kern w:val="0"/>
                <w:sz w:val="18"/>
                <w:szCs w:val="18"/>
                <w:highlight w:val="none"/>
              </w:rPr>
            </w:pPr>
          </w:p>
          <w:p w14:paraId="2928D8E8">
            <w:pPr>
              <w:widowControl/>
              <w:spacing w:line="0" w:lineRule="atLeast"/>
              <w:jc w:val="center"/>
              <w:rPr>
                <w:rFonts w:hint="default" w:ascii="Times New Roman" w:hAnsi="Times New Roman" w:eastAsia="仿宋_GB2312" w:cs="Times New Roman"/>
                <w:color w:val="000000"/>
                <w:kern w:val="0"/>
                <w:sz w:val="18"/>
                <w:szCs w:val="18"/>
                <w:highlight w:val="none"/>
              </w:rPr>
            </w:pPr>
          </w:p>
          <w:p w14:paraId="5B7A878C">
            <w:pPr>
              <w:widowControl/>
              <w:spacing w:line="0" w:lineRule="atLeast"/>
              <w:jc w:val="center"/>
              <w:rPr>
                <w:rFonts w:hint="default" w:ascii="Times New Roman" w:hAnsi="Times New Roman" w:eastAsia="仿宋_GB2312" w:cs="Times New Roman"/>
                <w:color w:val="000000"/>
                <w:kern w:val="0"/>
                <w:sz w:val="18"/>
                <w:szCs w:val="18"/>
                <w:highlight w:val="none"/>
              </w:rPr>
            </w:pPr>
          </w:p>
          <w:p w14:paraId="785F3821">
            <w:pPr>
              <w:widowControl/>
              <w:spacing w:line="0" w:lineRule="atLeast"/>
              <w:jc w:val="center"/>
              <w:rPr>
                <w:rFonts w:hint="default" w:ascii="Times New Roman" w:hAnsi="Times New Roman" w:eastAsia="仿宋_GB2312" w:cs="Times New Roman"/>
                <w:color w:val="000000"/>
                <w:kern w:val="0"/>
                <w:sz w:val="18"/>
                <w:szCs w:val="18"/>
                <w:highlight w:val="none"/>
              </w:rPr>
            </w:pPr>
          </w:p>
          <w:p w14:paraId="59E640C7">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决策　</w:t>
            </w:r>
          </w:p>
        </w:tc>
        <w:tc>
          <w:tcPr>
            <w:tcW w:w="394" w:type="pct"/>
            <w:vMerge w:val="restart"/>
            <w:shd w:val="clear" w:color="auto" w:fill="FFFFFF"/>
            <w:vAlign w:val="center"/>
          </w:tcPr>
          <w:p w14:paraId="2D23D204">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项目立项　</w:t>
            </w:r>
          </w:p>
        </w:tc>
        <w:tc>
          <w:tcPr>
            <w:tcW w:w="422" w:type="pct"/>
            <w:shd w:val="clear" w:color="auto" w:fill="FFFFFF"/>
            <w:vAlign w:val="center"/>
          </w:tcPr>
          <w:p w14:paraId="2B8C2283">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立项依据</w:t>
            </w:r>
          </w:p>
          <w:p w14:paraId="7ECB52F3">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充分性</w:t>
            </w:r>
          </w:p>
        </w:tc>
        <w:tc>
          <w:tcPr>
            <w:tcW w:w="680" w:type="pct"/>
            <w:shd w:val="clear" w:color="auto" w:fill="FFFFFF"/>
            <w:vAlign w:val="center"/>
          </w:tcPr>
          <w:p w14:paraId="6F22700C">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项目立项是否符合法律法规、相关政策、发展规划以及部门职责，用以反映和考核项目立项依据情况。</w:t>
            </w:r>
          </w:p>
        </w:tc>
        <w:tc>
          <w:tcPr>
            <w:tcW w:w="2056" w:type="pct"/>
            <w:shd w:val="clear" w:color="auto" w:fill="FFFFFF"/>
            <w:vAlign w:val="center"/>
          </w:tcPr>
          <w:p w14:paraId="7CA15DF2">
            <w:pPr>
              <w:widowControl/>
              <w:spacing w:line="0" w:lineRule="atLeast"/>
              <w:jc w:val="lef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①项目立项是否符合国家法律法规、国民经济发展规划和相关政策；</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②项目立项是否符合行业发展规划和政策要求；</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③项目立项是否与部门职责范围相符，属于部门履职所需；</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④项目是否属于公共财政支持范围，是否符合中央、地方事权支出责任划分原则；</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⑤项目是否与相关部门同类项目或部门内部相关项目重复。</w:t>
            </w:r>
          </w:p>
        </w:tc>
        <w:tc>
          <w:tcPr>
            <w:tcW w:w="514" w:type="pct"/>
            <w:gridSpan w:val="2"/>
            <w:shd w:val="clear" w:color="auto" w:fill="FFFFFF"/>
            <w:vAlign w:val="center"/>
          </w:tcPr>
          <w:p w14:paraId="5BD2F436">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3</w:t>
            </w:r>
          </w:p>
        </w:tc>
        <w:tc>
          <w:tcPr>
            <w:tcW w:w="538" w:type="pct"/>
            <w:shd w:val="clear" w:color="auto" w:fill="FFFFFF"/>
            <w:vAlign w:val="center"/>
          </w:tcPr>
          <w:p w14:paraId="10DEA741">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ascii="Times New Roman" w:hAnsi="Times New Roman" w:eastAsia="仿宋_GB2312" w:cs="Times New Roman"/>
                <w:b/>
                <w:bCs/>
                <w:color w:val="000000"/>
                <w:kern w:val="0"/>
                <w:sz w:val="18"/>
                <w:szCs w:val="18"/>
                <w:highlight w:val="none"/>
                <w:lang w:val="en-US" w:eastAsia="zh-CN"/>
              </w:rPr>
              <w:t>3</w:t>
            </w:r>
          </w:p>
        </w:tc>
      </w:tr>
      <w:tr w14:paraId="2EDD13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95" w:type="pct"/>
            <w:vMerge w:val="continue"/>
            <w:shd w:val="clear" w:color="auto" w:fill="FFFFFF"/>
            <w:vAlign w:val="center"/>
          </w:tcPr>
          <w:p w14:paraId="6DAC2A7E">
            <w:pPr>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vMerge w:val="continue"/>
            <w:shd w:val="clear" w:color="auto" w:fill="FFFFFF"/>
            <w:vAlign w:val="center"/>
          </w:tcPr>
          <w:p w14:paraId="751F725A">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422" w:type="pct"/>
            <w:shd w:val="clear" w:color="auto" w:fill="FFFFFF"/>
            <w:vAlign w:val="center"/>
          </w:tcPr>
          <w:p w14:paraId="3969873F">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立项程序</w:t>
            </w:r>
          </w:p>
          <w:p w14:paraId="5D3E465B">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规范性</w:t>
            </w:r>
          </w:p>
        </w:tc>
        <w:tc>
          <w:tcPr>
            <w:tcW w:w="680" w:type="pct"/>
            <w:shd w:val="clear" w:color="auto" w:fill="FFFFFF"/>
            <w:vAlign w:val="center"/>
          </w:tcPr>
          <w:p w14:paraId="7724E69D">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项目申请、设立过程是否符合相关要求，用以反映和考核项目立项的规范情况。</w:t>
            </w:r>
          </w:p>
        </w:tc>
        <w:tc>
          <w:tcPr>
            <w:tcW w:w="2056" w:type="pct"/>
            <w:shd w:val="clear" w:color="auto" w:fill="FFFFFF"/>
            <w:vAlign w:val="center"/>
          </w:tcPr>
          <w:p w14:paraId="53E8B962">
            <w:pPr>
              <w:widowControl/>
              <w:spacing w:line="0" w:lineRule="atLeast"/>
              <w:jc w:val="lef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①项目是否按照规定的程序申请设立；</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②审批文件、材料是否符合相关要求；</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③事前是否已经过必要的可行性研究、专家论证、风险评估、绩效评估、集体决策。</w:t>
            </w:r>
          </w:p>
        </w:tc>
        <w:tc>
          <w:tcPr>
            <w:tcW w:w="514" w:type="pct"/>
            <w:gridSpan w:val="2"/>
            <w:shd w:val="clear" w:color="auto" w:fill="FFFFFF"/>
            <w:vAlign w:val="center"/>
          </w:tcPr>
          <w:p w14:paraId="72414527">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3</w:t>
            </w:r>
          </w:p>
        </w:tc>
        <w:tc>
          <w:tcPr>
            <w:tcW w:w="538" w:type="pct"/>
            <w:shd w:val="clear" w:color="auto" w:fill="FFFFFF"/>
            <w:vAlign w:val="center"/>
          </w:tcPr>
          <w:p w14:paraId="46BCF098">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ascii="Times New Roman" w:hAnsi="Times New Roman" w:eastAsia="仿宋_GB2312" w:cs="Times New Roman"/>
                <w:b/>
                <w:bCs/>
                <w:color w:val="000000"/>
                <w:kern w:val="0"/>
                <w:sz w:val="18"/>
                <w:szCs w:val="18"/>
                <w:highlight w:val="none"/>
                <w:lang w:val="en-US" w:eastAsia="zh-CN"/>
              </w:rPr>
              <w:t>3</w:t>
            </w:r>
          </w:p>
        </w:tc>
      </w:tr>
      <w:tr w14:paraId="73B3B7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95" w:type="pct"/>
            <w:vMerge w:val="continue"/>
            <w:shd w:val="clear" w:color="auto" w:fill="FFFFFF"/>
            <w:vAlign w:val="center"/>
          </w:tcPr>
          <w:p w14:paraId="1ACA9E2A">
            <w:pPr>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vMerge w:val="restart"/>
            <w:shd w:val="clear" w:color="auto" w:fill="FFFFFF"/>
            <w:vAlign w:val="center"/>
          </w:tcPr>
          <w:p w14:paraId="75FA35D5">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绩效目标　</w:t>
            </w:r>
          </w:p>
        </w:tc>
        <w:tc>
          <w:tcPr>
            <w:tcW w:w="422" w:type="pct"/>
            <w:shd w:val="clear" w:color="auto" w:fill="FFFFFF"/>
            <w:vAlign w:val="center"/>
          </w:tcPr>
          <w:p w14:paraId="5F69D0F0">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绩效目标</w:t>
            </w:r>
          </w:p>
          <w:p w14:paraId="25AD37D1">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合理性</w:t>
            </w:r>
          </w:p>
        </w:tc>
        <w:tc>
          <w:tcPr>
            <w:tcW w:w="680" w:type="pct"/>
            <w:shd w:val="clear" w:color="000000" w:fill="FFFFFF"/>
            <w:vAlign w:val="center"/>
          </w:tcPr>
          <w:p w14:paraId="123B6686">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项目所设定的绩效目标是否依据充分，是否符合客观实际，用以反映和考核项目绩效目标与项目实施的相符情况。</w:t>
            </w:r>
          </w:p>
        </w:tc>
        <w:tc>
          <w:tcPr>
            <w:tcW w:w="2056" w:type="pct"/>
            <w:shd w:val="clear" w:color="000000" w:fill="FFFFFF"/>
            <w:vAlign w:val="center"/>
          </w:tcPr>
          <w:p w14:paraId="73286597">
            <w:pPr>
              <w:widowControl/>
              <w:spacing w:line="0" w:lineRule="atLeast"/>
              <w:jc w:val="lef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（如未设定预算绩效目标，也可考核其他工作任务目标）</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①项目是否有绩效目标；</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②项目绩效目标与实际工作内容是否具有相关性；</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③项目预期产出效益和效果是否符合正常的业绩水平；</w:t>
            </w:r>
          </w:p>
          <w:p w14:paraId="57C3E388">
            <w:pPr>
              <w:widowControl/>
              <w:spacing w:line="0" w:lineRule="atLeast"/>
              <w:jc w:val="lef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④是否与预算确定的项目投资额或资金量相匹配。</w:t>
            </w:r>
          </w:p>
        </w:tc>
        <w:tc>
          <w:tcPr>
            <w:tcW w:w="514" w:type="pct"/>
            <w:gridSpan w:val="2"/>
            <w:shd w:val="clear" w:color="000000" w:fill="FFFFFF"/>
            <w:vAlign w:val="center"/>
          </w:tcPr>
          <w:p w14:paraId="1B7DE25B">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3</w:t>
            </w:r>
          </w:p>
        </w:tc>
        <w:tc>
          <w:tcPr>
            <w:tcW w:w="538" w:type="pct"/>
            <w:shd w:val="clear" w:color="000000" w:fill="FFFFFF"/>
            <w:vAlign w:val="center"/>
          </w:tcPr>
          <w:p w14:paraId="170418A3">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ascii="Times New Roman" w:hAnsi="Times New Roman" w:eastAsia="仿宋_GB2312" w:cs="Times New Roman"/>
                <w:b/>
                <w:bCs/>
                <w:color w:val="000000"/>
                <w:kern w:val="0"/>
                <w:sz w:val="18"/>
                <w:szCs w:val="18"/>
                <w:highlight w:val="none"/>
                <w:lang w:val="en-US" w:eastAsia="zh-CN"/>
              </w:rPr>
              <w:t>3</w:t>
            </w:r>
          </w:p>
        </w:tc>
      </w:tr>
      <w:tr w14:paraId="1FED1F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95" w:type="pct"/>
            <w:vMerge w:val="continue"/>
            <w:shd w:val="clear" w:color="auto" w:fill="FFFFFF"/>
            <w:vAlign w:val="center"/>
          </w:tcPr>
          <w:p w14:paraId="2ED24D4D">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vMerge w:val="continue"/>
            <w:shd w:val="clear" w:color="auto" w:fill="FFFFFF"/>
            <w:vAlign w:val="center"/>
          </w:tcPr>
          <w:p w14:paraId="61109314">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422" w:type="pct"/>
            <w:shd w:val="clear" w:color="auto" w:fill="FFFFFF"/>
            <w:vAlign w:val="center"/>
          </w:tcPr>
          <w:p w14:paraId="4EECA303">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绩效指标</w:t>
            </w:r>
          </w:p>
          <w:p w14:paraId="5BD192DA">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明确性</w:t>
            </w:r>
          </w:p>
        </w:tc>
        <w:tc>
          <w:tcPr>
            <w:tcW w:w="680" w:type="pct"/>
            <w:shd w:val="clear" w:color="000000" w:fill="FFFFFF"/>
            <w:vAlign w:val="center"/>
          </w:tcPr>
          <w:p w14:paraId="791318B0">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依据绩效目标设定的绩效指标是否清晰、细化、可衡量等，用以反映和考核项目绩效目标的明细化情况。</w:t>
            </w:r>
          </w:p>
        </w:tc>
        <w:tc>
          <w:tcPr>
            <w:tcW w:w="2056" w:type="pct"/>
            <w:shd w:val="clear" w:color="000000" w:fill="FFFFFF"/>
            <w:vAlign w:val="center"/>
          </w:tcPr>
          <w:p w14:paraId="56DCA368">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①是否将项目绩效目标细化分解为具体的绩效指标；</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②是否通过清晰、可衡量的指标值予以体现；</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③是否与项目目标任务数或计划数相对应。</w:t>
            </w:r>
            <w:r>
              <w:rPr>
                <w:rFonts w:hint="default" w:ascii="Times New Roman" w:hAnsi="Times New Roman" w:eastAsia="仿宋_GB2312" w:cs="Times New Roman"/>
                <w:color w:val="000000"/>
                <w:kern w:val="0"/>
                <w:sz w:val="18"/>
                <w:szCs w:val="18"/>
                <w:highlight w:val="none"/>
              </w:rPr>
              <w:br w:type="textWrapping"/>
            </w:r>
          </w:p>
        </w:tc>
        <w:tc>
          <w:tcPr>
            <w:tcW w:w="514" w:type="pct"/>
            <w:gridSpan w:val="2"/>
            <w:shd w:val="clear" w:color="000000" w:fill="FFFFFF"/>
            <w:vAlign w:val="center"/>
          </w:tcPr>
          <w:p w14:paraId="1FF2814D">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3</w:t>
            </w:r>
          </w:p>
        </w:tc>
        <w:tc>
          <w:tcPr>
            <w:tcW w:w="538" w:type="pct"/>
            <w:shd w:val="clear" w:color="000000" w:fill="FFFFFF"/>
            <w:vAlign w:val="center"/>
          </w:tcPr>
          <w:p w14:paraId="51C95082">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ascii="Times New Roman" w:hAnsi="Times New Roman" w:eastAsia="仿宋_GB2312" w:cs="Times New Roman"/>
                <w:b/>
                <w:bCs/>
                <w:color w:val="000000"/>
                <w:kern w:val="0"/>
                <w:sz w:val="18"/>
                <w:szCs w:val="18"/>
                <w:highlight w:val="none"/>
                <w:lang w:val="en-US" w:eastAsia="zh-CN"/>
              </w:rPr>
              <w:t>3</w:t>
            </w:r>
          </w:p>
        </w:tc>
      </w:tr>
      <w:tr w14:paraId="43B068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95" w:type="pct"/>
            <w:vMerge w:val="continue"/>
            <w:shd w:val="clear" w:color="auto" w:fill="FFFFFF"/>
            <w:vAlign w:val="center"/>
          </w:tcPr>
          <w:p w14:paraId="1D1B8680">
            <w:pPr>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vMerge w:val="restart"/>
            <w:shd w:val="clear" w:color="auto" w:fill="FFFFFF"/>
            <w:vAlign w:val="center"/>
          </w:tcPr>
          <w:p w14:paraId="785CDAD6">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资金投入</w:t>
            </w:r>
          </w:p>
          <w:p w14:paraId="01B842D7">
            <w:pPr>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　</w:t>
            </w:r>
          </w:p>
        </w:tc>
        <w:tc>
          <w:tcPr>
            <w:tcW w:w="422" w:type="pct"/>
            <w:shd w:val="clear" w:color="auto" w:fill="FFFFFF"/>
            <w:vAlign w:val="center"/>
          </w:tcPr>
          <w:p w14:paraId="38345BA2">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预算编制</w:t>
            </w:r>
          </w:p>
          <w:p w14:paraId="523FA000">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科学性</w:t>
            </w:r>
          </w:p>
        </w:tc>
        <w:tc>
          <w:tcPr>
            <w:tcW w:w="680" w:type="pct"/>
            <w:shd w:val="clear" w:color="auto" w:fill="FFFFFF"/>
            <w:vAlign w:val="center"/>
          </w:tcPr>
          <w:p w14:paraId="21B04E7E">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项目预算编制是否经过科学论证、有明确标准，资金额度与年度目标是否相适应，用以反映和考核项目预算编制的科学性、合理性情况。</w:t>
            </w:r>
          </w:p>
        </w:tc>
        <w:tc>
          <w:tcPr>
            <w:tcW w:w="2056" w:type="pct"/>
            <w:shd w:val="clear" w:color="auto" w:fill="FFFFFF"/>
            <w:vAlign w:val="center"/>
          </w:tcPr>
          <w:p w14:paraId="3349F0B0">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①预算编制是否经过科学论证；</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②预算内容与项目内容是否匹配；</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③预算额度测算依据是否充分，是否按照标准编制；</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④预算确定的项目投资额或资金量是否与工作任务相匹配。</w:t>
            </w:r>
          </w:p>
        </w:tc>
        <w:tc>
          <w:tcPr>
            <w:tcW w:w="514" w:type="pct"/>
            <w:gridSpan w:val="2"/>
            <w:shd w:val="clear" w:color="auto" w:fill="FFFFFF"/>
            <w:vAlign w:val="center"/>
          </w:tcPr>
          <w:p w14:paraId="53DE22F6">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538" w:type="pct"/>
            <w:shd w:val="clear" w:color="auto" w:fill="FFFFFF"/>
            <w:vAlign w:val="center"/>
          </w:tcPr>
          <w:p w14:paraId="667F1ABA">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ascii="Times New Roman" w:hAnsi="Times New Roman" w:eastAsia="仿宋_GB2312" w:cs="Times New Roman"/>
                <w:b/>
                <w:bCs/>
                <w:color w:val="000000"/>
                <w:kern w:val="0"/>
                <w:sz w:val="18"/>
                <w:szCs w:val="18"/>
                <w:highlight w:val="none"/>
                <w:lang w:val="en-US" w:eastAsia="zh-CN"/>
              </w:rPr>
              <w:t>4</w:t>
            </w:r>
          </w:p>
        </w:tc>
      </w:tr>
      <w:tr w14:paraId="450C7C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95" w:type="pct"/>
            <w:vMerge w:val="continue"/>
            <w:shd w:val="clear" w:color="auto" w:fill="FFFFFF"/>
            <w:vAlign w:val="center"/>
          </w:tcPr>
          <w:p w14:paraId="20E93017">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vMerge w:val="continue"/>
            <w:shd w:val="clear" w:color="auto" w:fill="FFFFFF"/>
            <w:vAlign w:val="center"/>
          </w:tcPr>
          <w:p w14:paraId="138AC310">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422" w:type="pct"/>
            <w:shd w:val="clear" w:color="auto" w:fill="FFFFFF"/>
            <w:vAlign w:val="center"/>
          </w:tcPr>
          <w:p w14:paraId="6566EAEB">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资金分配</w:t>
            </w:r>
          </w:p>
          <w:p w14:paraId="154FEC3E">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合理性</w:t>
            </w:r>
          </w:p>
        </w:tc>
        <w:tc>
          <w:tcPr>
            <w:tcW w:w="680" w:type="pct"/>
            <w:shd w:val="clear" w:color="auto" w:fill="FFFFFF"/>
            <w:vAlign w:val="center"/>
          </w:tcPr>
          <w:p w14:paraId="7C209FC7">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项目预算资金分配是否有测算依据，与补助单位或地方实际是否相适应，用以反映和考核项目预算资金分配的科学性、合理性情况。</w:t>
            </w:r>
          </w:p>
        </w:tc>
        <w:tc>
          <w:tcPr>
            <w:tcW w:w="2056" w:type="pct"/>
            <w:shd w:val="clear" w:color="auto" w:fill="FFFFFF"/>
            <w:vAlign w:val="center"/>
          </w:tcPr>
          <w:p w14:paraId="7C3BF0D9">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①预算资金分配依据是否充分；</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②资金分配额度是否合理，与项目单位或地方实际是否相适应。</w:t>
            </w:r>
          </w:p>
        </w:tc>
        <w:tc>
          <w:tcPr>
            <w:tcW w:w="514" w:type="pct"/>
            <w:gridSpan w:val="2"/>
            <w:shd w:val="clear" w:color="auto" w:fill="FFFFFF"/>
            <w:vAlign w:val="center"/>
          </w:tcPr>
          <w:p w14:paraId="352AC61C">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538" w:type="pct"/>
            <w:shd w:val="clear" w:color="auto" w:fill="FFFFFF"/>
            <w:vAlign w:val="center"/>
          </w:tcPr>
          <w:p w14:paraId="631E537E">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ascii="Times New Roman" w:hAnsi="Times New Roman" w:eastAsia="仿宋_GB2312" w:cs="Times New Roman"/>
                <w:b/>
                <w:bCs/>
                <w:color w:val="000000"/>
                <w:kern w:val="0"/>
                <w:sz w:val="18"/>
                <w:szCs w:val="18"/>
                <w:highlight w:val="none"/>
                <w:lang w:val="en-US" w:eastAsia="zh-CN"/>
              </w:rPr>
              <w:t>4</w:t>
            </w:r>
          </w:p>
        </w:tc>
      </w:tr>
      <w:tr w14:paraId="1B6532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95" w:type="pct"/>
            <w:vMerge w:val="restart"/>
            <w:shd w:val="clear" w:color="auto" w:fill="FFFFFF"/>
            <w:vAlign w:val="center"/>
          </w:tcPr>
          <w:p w14:paraId="5086FA89">
            <w:pPr>
              <w:spacing w:line="0" w:lineRule="atLeast"/>
              <w:jc w:val="center"/>
              <w:rPr>
                <w:rFonts w:hint="default" w:ascii="Times New Roman" w:hAnsi="Times New Roman" w:eastAsia="仿宋_GB2312" w:cs="Times New Roman"/>
                <w:color w:val="000000"/>
                <w:kern w:val="0"/>
                <w:sz w:val="18"/>
                <w:szCs w:val="18"/>
                <w:highlight w:val="none"/>
              </w:rPr>
            </w:pPr>
          </w:p>
          <w:p w14:paraId="0EFFCD01">
            <w:pPr>
              <w:spacing w:line="0" w:lineRule="atLeast"/>
              <w:jc w:val="center"/>
              <w:rPr>
                <w:rFonts w:hint="default" w:ascii="Times New Roman" w:hAnsi="Times New Roman" w:eastAsia="仿宋_GB2312" w:cs="Times New Roman"/>
                <w:color w:val="000000"/>
                <w:kern w:val="0"/>
                <w:sz w:val="18"/>
                <w:szCs w:val="18"/>
                <w:highlight w:val="none"/>
              </w:rPr>
            </w:pPr>
          </w:p>
          <w:p w14:paraId="351B0E10">
            <w:pPr>
              <w:spacing w:line="0" w:lineRule="atLeast"/>
              <w:jc w:val="center"/>
              <w:rPr>
                <w:rFonts w:hint="default" w:ascii="Times New Roman" w:hAnsi="Times New Roman" w:eastAsia="仿宋_GB2312" w:cs="Times New Roman"/>
                <w:color w:val="000000"/>
                <w:kern w:val="0"/>
                <w:sz w:val="18"/>
                <w:szCs w:val="18"/>
                <w:highlight w:val="none"/>
              </w:rPr>
            </w:pPr>
          </w:p>
          <w:p w14:paraId="5CE21D6B">
            <w:pPr>
              <w:spacing w:line="0" w:lineRule="atLeast"/>
              <w:jc w:val="center"/>
              <w:rPr>
                <w:rFonts w:hint="default" w:ascii="Times New Roman" w:hAnsi="Times New Roman" w:eastAsia="仿宋_GB2312" w:cs="Times New Roman"/>
                <w:color w:val="000000"/>
                <w:kern w:val="0"/>
                <w:sz w:val="18"/>
                <w:szCs w:val="18"/>
                <w:highlight w:val="none"/>
              </w:rPr>
            </w:pPr>
          </w:p>
          <w:p w14:paraId="12D7E55D">
            <w:pPr>
              <w:spacing w:line="0" w:lineRule="atLeast"/>
              <w:jc w:val="center"/>
              <w:rPr>
                <w:rFonts w:hint="default" w:ascii="Times New Roman" w:hAnsi="Times New Roman" w:eastAsia="仿宋_GB2312" w:cs="Times New Roman"/>
                <w:color w:val="000000"/>
                <w:kern w:val="0"/>
                <w:sz w:val="18"/>
                <w:szCs w:val="18"/>
                <w:highlight w:val="none"/>
              </w:rPr>
            </w:pPr>
          </w:p>
          <w:p w14:paraId="696A75A9">
            <w:pPr>
              <w:spacing w:line="0" w:lineRule="atLeast"/>
              <w:jc w:val="center"/>
              <w:rPr>
                <w:rFonts w:hint="default" w:ascii="Times New Roman" w:hAnsi="Times New Roman" w:eastAsia="仿宋_GB2312" w:cs="Times New Roman"/>
                <w:color w:val="000000"/>
                <w:kern w:val="0"/>
                <w:sz w:val="18"/>
                <w:szCs w:val="18"/>
                <w:highlight w:val="none"/>
              </w:rPr>
            </w:pPr>
          </w:p>
          <w:p w14:paraId="3E92393A">
            <w:pPr>
              <w:spacing w:line="0" w:lineRule="atLeast"/>
              <w:jc w:val="center"/>
              <w:rPr>
                <w:rFonts w:hint="default" w:ascii="Times New Roman" w:hAnsi="Times New Roman" w:eastAsia="仿宋_GB2312" w:cs="Times New Roman"/>
                <w:color w:val="000000"/>
                <w:kern w:val="0"/>
                <w:sz w:val="18"/>
                <w:szCs w:val="18"/>
                <w:highlight w:val="none"/>
              </w:rPr>
            </w:pPr>
          </w:p>
          <w:p w14:paraId="73153ECE">
            <w:pPr>
              <w:spacing w:line="0" w:lineRule="atLeast"/>
              <w:jc w:val="center"/>
              <w:rPr>
                <w:rFonts w:hint="default" w:ascii="Times New Roman" w:hAnsi="Times New Roman" w:eastAsia="仿宋_GB2312" w:cs="Times New Roman"/>
                <w:color w:val="000000"/>
                <w:kern w:val="0"/>
                <w:sz w:val="18"/>
                <w:szCs w:val="18"/>
                <w:highlight w:val="none"/>
              </w:rPr>
            </w:pPr>
          </w:p>
          <w:p w14:paraId="715295EE">
            <w:pPr>
              <w:spacing w:line="0" w:lineRule="atLeast"/>
              <w:jc w:val="center"/>
              <w:rPr>
                <w:rFonts w:hint="default" w:ascii="Times New Roman" w:hAnsi="Times New Roman" w:eastAsia="仿宋_GB2312" w:cs="Times New Roman"/>
                <w:color w:val="000000"/>
                <w:kern w:val="0"/>
                <w:sz w:val="18"/>
                <w:szCs w:val="18"/>
                <w:highlight w:val="none"/>
              </w:rPr>
            </w:pPr>
          </w:p>
          <w:p w14:paraId="57A1AECE">
            <w:pPr>
              <w:spacing w:line="0" w:lineRule="atLeast"/>
              <w:jc w:val="center"/>
              <w:rPr>
                <w:rFonts w:hint="default" w:ascii="Times New Roman" w:hAnsi="Times New Roman" w:eastAsia="仿宋_GB2312" w:cs="Times New Roman"/>
                <w:color w:val="000000"/>
                <w:kern w:val="0"/>
                <w:sz w:val="18"/>
                <w:szCs w:val="18"/>
                <w:highlight w:val="none"/>
              </w:rPr>
            </w:pPr>
          </w:p>
          <w:p w14:paraId="0BC307E9">
            <w:pPr>
              <w:spacing w:line="0" w:lineRule="atLeast"/>
              <w:jc w:val="center"/>
              <w:rPr>
                <w:rFonts w:hint="default" w:ascii="Times New Roman" w:hAnsi="Times New Roman" w:eastAsia="仿宋_GB2312" w:cs="Times New Roman"/>
                <w:color w:val="000000"/>
                <w:kern w:val="0"/>
                <w:sz w:val="18"/>
                <w:szCs w:val="18"/>
                <w:highlight w:val="none"/>
              </w:rPr>
            </w:pPr>
          </w:p>
          <w:p w14:paraId="307AE745">
            <w:pPr>
              <w:spacing w:line="0" w:lineRule="atLeast"/>
              <w:jc w:val="center"/>
              <w:rPr>
                <w:rFonts w:hint="default" w:ascii="Times New Roman" w:hAnsi="Times New Roman" w:eastAsia="仿宋_GB2312" w:cs="Times New Roman"/>
                <w:color w:val="000000"/>
                <w:kern w:val="0"/>
                <w:sz w:val="18"/>
                <w:szCs w:val="18"/>
                <w:highlight w:val="none"/>
              </w:rPr>
            </w:pPr>
          </w:p>
          <w:p w14:paraId="620C70B1">
            <w:pPr>
              <w:spacing w:line="0" w:lineRule="atLeast"/>
              <w:jc w:val="center"/>
              <w:rPr>
                <w:rFonts w:hint="default" w:ascii="Times New Roman" w:hAnsi="Times New Roman" w:eastAsia="仿宋_GB2312" w:cs="Times New Roman"/>
                <w:color w:val="000000"/>
                <w:kern w:val="0"/>
                <w:sz w:val="18"/>
                <w:szCs w:val="18"/>
                <w:highlight w:val="none"/>
              </w:rPr>
            </w:pPr>
          </w:p>
          <w:p w14:paraId="5945B673">
            <w:pPr>
              <w:spacing w:line="0" w:lineRule="atLeast"/>
              <w:jc w:val="center"/>
              <w:rPr>
                <w:rFonts w:hint="default" w:ascii="Times New Roman" w:hAnsi="Times New Roman" w:eastAsia="仿宋_GB2312" w:cs="Times New Roman"/>
                <w:color w:val="000000"/>
                <w:kern w:val="0"/>
                <w:sz w:val="18"/>
                <w:szCs w:val="18"/>
                <w:highlight w:val="none"/>
              </w:rPr>
            </w:pPr>
          </w:p>
          <w:p w14:paraId="6AC00744">
            <w:pPr>
              <w:spacing w:line="0" w:lineRule="atLeast"/>
              <w:jc w:val="center"/>
              <w:rPr>
                <w:rFonts w:hint="default" w:ascii="Times New Roman" w:hAnsi="Times New Roman" w:eastAsia="仿宋_GB2312" w:cs="Times New Roman"/>
                <w:color w:val="000000"/>
                <w:kern w:val="0"/>
                <w:sz w:val="18"/>
                <w:szCs w:val="18"/>
                <w:highlight w:val="none"/>
              </w:rPr>
            </w:pPr>
          </w:p>
          <w:p w14:paraId="4A359D7C">
            <w:pPr>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过程</w:t>
            </w:r>
          </w:p>
          <w:p w14:paraId="6062CAA1">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　　</w:t>
            </w:r>
          </w:p>
        </w:tc>
        <w:tc>
          <w:tcPr>
            <w:tcW w:w="394" w:type="pct"/>
            <w:vMerge w:val="restart"/>
            <w:shd w:val="clear" w:color="auto" w:fill="FFFFFF"/>
            <w:vAlign w:val="center"/>
          </w:tcPr>
          <w:p w14:paraId="7892CED9">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资金管理</w:t>
            </w:r>
          </w:p>
        </w:tc>
        <w:tc>
          <w:tcPr>
            <w:tcW w:w="422" w:type="pct"/>
            <w:shd w:val="clear" w:color="auto" w:fill="FFFFFF"/>
            <w:vAlign w:val="center"/>
          </w:tcPr>
          <w:p w14:paraId="574EAE1E">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资金到位率</w:t>
            </w:r>
          </w:p>
        </w:tc>
        <w:tc>
          <w:tcPr>
            <w:tcW w:w="680" w:type="pct"/>
            <w:shd w:val="clear" w:color="000000" w:fill="FFFFFF"/>
            <w:vAlign w:val="center"/>
          </w:tcPr>
          <w:p w14:paraId="59E8DB5C">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实际到位资金与预算资金的比率，用以反映和考核资金落实情况对项目实施的总体保障程度。</w:t>
            </w:r>
          </w:p>
        </w:tc>
        <w:tc>
          <w:tcPr>
            <w:tcW w:w="2056" w:type="pct"/>
            <w:shd w:val="clear" w:color="000000" w:fill="FFFFFF"/>
            <w:vAlign w:val="center"/>
          </w:tcPr>
          <w:p w14:paraId="0B934897">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资金到位率=（实际到位资金/预算资金）×100%。</w:t>
            </w:r>
          </w:p>
          <w:p w14:paraId="29283E9B">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实际到位资金：一定时期（本年度或项目期）内落实到具体项目的资金。</w:t>
            </w:r>
          </w:p>
          <w:p w14:paraId="78006057">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预算资金：一定时期（本年度或项目期）内预算安排到具体项目的资金。</w:t>
            </w:r>
          </w:p>
        </w:tc>
        <w:tc>
          <w:tcPr>
            <w:tcW w:w="514" w:type="pct"/>
            <w:gridSpan w:val="2"/>
            <w:shd w:val="clear" w:color="000000" w:fill="FFFFFF"/>
            <w:vAlign w:val="center"/>
          </w:tcPr>
          <w:p w14:paraId="3228ACE3">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538" w:type="pct"/>
            <w:shd w:val="clear" w:color="000000" w:fill="FFFFFF"/>
            <w:vAlign w:val="center"/>
          </w:tcPr>
          <w:p w14:paraId="7217C38F">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ascii="Times New Roman" w:hAnsi="Times New Roman" w:eastAsia="仿宋_GB2312" w:cs="Times New Roman"/>
                <w:b/>
                <w:bCs/>
                <w:color w:val="000000"/>
                <w:kern w:val="0"/>
                <w:sz w:val="18"/>
                <w:szCs w:val="18"/>
                <w:highlight w:val="none"/>
                <w:lang w:val="en-US" w:eastAsia="zh-CN"/>
              </w:rPr>
              <w:t>4</w:t>
            </w:r>
          </w:p>
        </w:tc>
      </w:tr>
      <w:tr w14:paraId="53A456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95" w:type="pct"/>
            <w:vMerge w:val="continue"/>
            <w:shd w:val="clear" w:color="auto" w:fill="FFFFFF"/>
            <w:vAlign w:val="center"/>
          </w:tcPr>
          <w:p w14:paraId="402EF96D">
            <w:pPr>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vMerge w:val="continue"/>
            <w:shd w:val="clear" w:color="auto" w:fill="FFFFFF"/>
            <w:vAlign w:val="center"/>
          </w:tcPr>
          <w:p w14:paraId="2BA5293B">
            <w:pPr>
              <w:spacing w:line="0" w:lineRule="atLeast"/>
              <w:jc w:val="center"/>
              <w:rPr>
                <w:rFonts w:hint="default" w:ascii="Times New Roman" w:hAnsi="Times New Roman" w:eastAsia="仿宋_GB2312" w:cs="Times New Roman"/>
                <w:color w:val="000000"/>
                <w:kern w:val="0"/>
                <w:sz w:val="18"/>
                <w:szCs w:val="18"/>
                <w:highlight w:val="none"/>
              </w:rPr>
            </w:pPr>
          </w:p>
        </w:tc>
        <w:tc>
          <w:tcPr>
            <w:tcW w:w="422" w:type="pct"/>
            <w:shd w:val="clear" w:color="auto" w:fill="FFFFFF"/>
            <w:vAlign w:val="center"/>
          </w:tcPr>
          <w:p w14:paraId="6D40755F">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预算执行率</w:t>
            </w:r>
          </w:p>
        </w:tc>
        <w:tc>
          <w:tcPr>
            <w:tcW w:w="680" w:type="pct"/>
            <w:shd w:val="clear" w:color="auto" w:fill="FFFFFF"/>
            <w:vAlign w:val="center"/>
          </w:tcPr>
          <w:p w14:paraId="6DF35DE4">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项目预算资金是否按照计划执行，用以反映或考核项目预算执行情况。</w:t>
            </w:r>
          </w:p>
        </w:tc>
        <w:tc>
          <w:tcPr>
            <w:tcW w:w="2056" w:type="pct"/>
            <w:shd w:val="clear" w:color="auto" w:fill="FFFFFF"/>
            <w:vAlign w:val="center"/>
          </w:tcPr>
          <w:p w14:paraId="35021E1A">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预算执行率=（实际支出资金/实际到位资金）×100%。</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实际支出资金：一定时期（本年度或项目期）内项目实际拨付的资金。</w:t>
            </w:r>
          </w:p>
        </w:tc>
        <w:tc>
          <w:tcPr>
            <w:tcW w:w="514" w:type="pct"/>
            <w:gridSpan w:val="2"/>
            <w:shd w:val="clear" w:color="auto" w:fill="FFFFFF"/>
            <w:vAlign w:val="center"/>
          </w:tcPr>
          <w:p w14:paraId="52B8CC4A">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538" w:type="pct"/>
            <w:shd w:val="clear" w:color="auto" w:fill="FFFFFF"/>
            <w:vAlign w:val="center"/>
          </w:tcPr>
          <w:p w14:paraId="484B400F">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ascii="Times New Roman" w:hAnsi="Times New Roman" w:eastAsia="仿宋_GB2312" w:cs="Times New Roman"/>
                <w:b/>
                <w:bCs/>
                <w:color w:val="000000"/>
                <w:kern w:val="0"/>
                <w:sz w:val="18"/>
                <w:szCs w:val="18"/>
                <w:highlight w:val="none"/>
                <w:lang w:val="en-US" w:eastAsia="zh-CN"/>
              </w:rPr>
              <w:t>3.76</w:t>
            </w:r>
          </w:p>
        </w:tc>
      </w:tr>
      <w:tr w14:paraId="4B490B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95" w:type="pct"/>
            <w:vMerge w:val="continue"/>
            <w:shd w:val="clear" w:color="auto" w:fill="FFFFFF"/>
            <w:vAlign w:val="center"/>
          </w:tcPr>
          <w:p w14:paraId="2869390A">
            <w:pPr>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shd w:val="clear" w:color="auto" w:fill="FFFFFF"/>
            <w:vAlign w:val="center"/>
          </w:tcPr>
          <w:p w14:paraId="7CC51FFF">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资金管理</w:t>
            </w:r>
          </w:p>
        </w:tc>
        <w:tc>
          <w:tcPr>
            <w:tcW w:w="422" w:type="pct"/>
            <w:shd w:val="clear" w:color="auto" w:fill="FFFFFF"/>
            <w:vAlign w:val="center"/>
          </w:tcPr>
          <w:p w14:paraId="670AE4C4">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资金使用</w:t>
            </w:r>
          </w:p>
          <w:p w14:paraId="7975A129">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合规性</w:t>
            </w:r>
          </w:p>
        </w:tc>
        <w:tc>
          <w:tcPr>
            <w:tcW w:w="680" w:type="pct"/>
            <w:shd w:val="clear" w:color="000000" w:fill="FFFFFF"/>
            <w:vAlign w:val="center"/>
          </w:tcPr>
          <w:p w14:paraId="069274A3">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项目资金使用是否符合相关的财务管理制度规定，用以反映和考核项目资金的规范运行情况。</w:t>
            </w:r>
          </w:p>
        </w:tc>
        <w:tc>
          <w:tcPr>
            <w:tcW w:w="2056" w:type="pct"/>
            <w:shd w:val="clear" w:color="000000" w:fill="FFFFFF"/>
            <w:vAlign w:val="center"/>
          </w:tcPr>
          <w:p w14:paraId="49620DF8">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①是否符合国家财经法规和财务管理制度以及有关专项资金管理办法的规定；</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②资金的拨付是否有完整的审批程序和手续；</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③是否符合项目预算批复或合同规定的用途；</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④是否存在截留、挤占、挪用、虚列支出等情况。</w:t>
            </w:r>
          </w:p>
        </w:tc>
        <w:tc>
          <w:tcPr>
            <w:tcW w:w="514" w:type="pct"/>
            <w:gridSpan w:val="2"/>
            <w:shd w:val="clear" w:color="000000" w:fill="FFFFFF"/>
            <w:vAlign w:val="center"/>
          </w:tcPr>
          <w:p w14:paraId="0BA0E7BC">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538" w:type="pct"/>
            <w:shd w:val="clear" w:color="000000" w:fill="FFFFFF"/>
            <w:vAlign w:val="center"/>
          </w:tcPr>
          <w:p w14:paraId="5E002BFD">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ascii="Times New Roman" w:hAnsi="Times New Roman" w:eastAsia="仿宋_GB2312" w:cs="Times New Roman"/>
                <w:b/>
                <w:bCs/>
                <w:color w:val="000000"/>
                <w:kern w:val="0"/>
                <w:sz w:val="18"/>
                <w:szCs w:val="18"/>
                <w:highlight w:val="none"/>
                <w:lang w:val="en-US" w:eastAsia="zh-CN"/>
              </w:rPr>
              <w:t>4</w:t>
            </w:r>
          </w:p>
        </w:tc>
      </w:tr>
      <w:tr w14:paraId="265461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95" w:type="pct"/>
            <w:vMerge w:val="continue"/>
            <w:shd w:val="clear" w:color="auto" w:fill="FFFFFF"/>
            <w:vAlign w:val="center"/>
          </w:tcPr>
          <w:p w14:paraId="7F0405EC">
            <w:pPr>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vMerge w:val="restart"/>
            <w:shd w:val="clear" w:color="auto" w:fill="FFFFFF"/>
            <w:vAlign w:val="center"/>
          </w:tcPr>
          <w:p w14:paraId="50D43772">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组织实施</w:t>
            </w:r>
          </w:p>
          <w:p w14:paraId="2C974B31">
            <w:pPr>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　</w:t>
            </w:r>
          </w:p>
        </w:tc>
        <w:tc>
          <w:tcPr>
            <w:tcW w:w="422" w:type="pct"/>
            <w:shd w:val="clear" w:color="auto" w:fill="FFFFFF"/>
            <w:vAlign w:val="center"/>
          </w:tcPr>
          <w:p w14:paraId="085DC7D6">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管理制度</w:t>
            </w:r>
          </w:p>
          <w:p w14:paraId="103AEC3E">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健全性</w:t>
            </w:r>
          </w:p>
        </w:tc>
        <w:tc>
          <w:tcPr>
            <w:tcW w:w="680" w:type="pct"/>
            <w:shd w:val="clear" w:color="000000" w:fill="FFFFFF"/>
            <w:vAlign w:val="center"/>
          </w:tcPr>
          <w:p w14:paraId="412502E2">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项目实施单位的财务和业务管理制度是否健全，用以反映和考核财务和业务管理制度对项目顺利实施的保障情况。</w:t>
            </w:r>
          </w:p>
        </w:tc>
        <w:tc>
          <w:tcPr>
            <w:tcW w:w="2056" w:type="pct"/>
            <w:shd w:val="clear" w:color="000000" w:fill="FFFFFF"/>
            <w:vAlign w:val="center"/>
          </w:tcPr>
          <w:p w14:paraId="7155D4FB">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①是否已制定或具有相应的财务和业务管理制度；</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②财务和业务管理制度是否合法、合规、完整。</w:t>
            </w:r>
          </w:p>
        </w:tc>
        <w:tc>
          <w:tcPr>
            <w:tcW w:w="514" w:type="pct"/>
            <w:gridSpan w:val="2"/>
            <w:shd w:val="clear" w:color="000000" w:fill="FFFFFF"/>
            <w:vAlign w:val="center"/>
          </w:tcPr>
          <w:p w14:paraId="1746194D">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538" w:type="pct"/>
            <w:shd w:val="clear" w:color="000000" w:fill="FFFFFF"/>
            <w:vAlign w:val="center"/>
          </w:tcPr>
          <w:p w14:paraId="44EE3A3D">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ascii="Times New Roman" w:hAnsi="Times New Roman" w:eastAsia="仿宋_GB2312" w:cs="Times New Roman"/>
                <w:b/>
                <w:bCs/>
                <w:color w:val="000000"/>
                <w:kern w:val="0"/>
                <w:sz w:val="18"/>
                <w:szCs w:val="18"/>
                <w:highlight w:val="none"/>
                <w:lang w:val="en-US" w:eastAsia="zh-CN"/>
              </w:rPr>
              <w:t>4</w:t>
            </w:r>
          </w:p>
        </w:tc>
      </w:tr>
      <w:tr w14:paraId="7FBD3B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95" w:type="pct"/>
            <w:vMerge w:val="continue"/>
            <w:shd w:val="clear" w:color="auto" w:fill="FFFFFF"/>
            <w:vAlign w:val="center"/>
          </w:tcPr>
          <w:p w14:paraId="57B7FCD1">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vMerge w:val="continue"/>
            <w:shd w:val="clear" w:color="auto" w:fill="FFFFFF"/>
            <w:vAlign w:val="center"/>
          </w:tcPr>
          <w:p w14:paraId="213D0B13">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422" w:type="pct"/>
            <w:shd w:val="clear" w:color="auto" w:fill="FFFFFF"/>
            <w:vAlign w:val="center"/>
          </w:tcPr>
          <w:p w14:paraId="5A773C70">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制度执行</w:t>
            </w:r>
          </w:p>
          <w:p w14:paraId="2979A860">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有效性</w:t>
            </w:r>
          </w:p>
        </w:tc>
        <w:tc>
          <w:tcPr>
            <w:tcW w:w="680" w:type="pct"/>
            <w:shd w:val="clear" w:color="000000" w:fill="FFFFFF"/>
            <w:vAlign w:val="center"/>
          </w:tcPr>
          <w:p w14:paraId="433DAEBE">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项目实施是否符合相关管理规定，用以反映和考核相关管理制度的有效执行情况。</w:t>
            </w:r>
          </w:p>
        </w:tc>
        <w:tc>
          <w:tcPr>
            <w:tcW w:w="2056" w:type="pct"/>
            <w:shd w:val="clear" w:color="000000" w:fill="FFFFFF"/>
            <w:vAlign w:val="center"/>
          </w:tcPr>
          <w:p w14:paraId="100C31E3">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①是否遵守相关法律法规和相关管理规定；</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②项目调整及支出调整手续是否完备；</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③项目合同书、验收报告、技术鉴定等资料是否齐全并及时归档；</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④项目实施的人员条件、场地设备、信息支撑等是否落实到位。</w:t>
            </w:r>
          </w:p>
        </w:tc>
        <w:tc>
          <w:tcPr>
            <w:tcW w:w="514" w:type="pct"/>
            <w:gridSpan w:val="2"/>
            <w:shd w:val="clear" w:color="000000" w:fill="FFFFFF"/>
            <w:vAlign w:val="center"/>
          </w:tcPr>
          <w:p w14:paraId="44473D5E">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538" w:type="pct"/>
            <w:shd w:val="clear" w:color="000000" w:fill="FFFFFF"/>
            <w:vAlign w:val="center"/>
          </w:tcPr>
          <w:p w14:paraId="60E30355">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ascii="Times New Roman" w:hAnsi="Times New Roman" w:eastAsia="仿宋_GB2312" w:cs="Times New Roman"/>
                <w:b/>
                <w:bCs/>
                <w:color w:val="000000"/>
                <w:kern w:val="0"/>
                <w:sz w:val="18"/>
                <w:szCs w:val="18"/>
                <w:highlight w:val="none"/>
                <w:lang w:val="en-US" w:eastAsia="zh-CN"/>
              </w:rPr>
              <w:t>4</w:t>
            </w:r>
          </w:p>
        </w:tc>
      </w:tr>
      <w:tr w14:paraId="2E6475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95" w:type="pct"/>
            <w:vMerge w:val="restart"/>
            <w:shd w:val="clear" w:color="auto" w:fill="FFFFFF"/>
            <w:vAlign w:val="center"/>
          </w:tcPr>
          <w:p w14:paraId="776E2C59">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产出</w:t>
            </w:r>
          </w:p>
        </w:tc>
        <w:tc>
          <w:tcPr>
            <w:tcW w:w="394" w:type="pct"/>
            <w:shd w:val="clear" w:color="auto" w:fill="FFFFFF"/>
            <w:vAlign w:val="center"/>
          </w:tcPr>
          <w:p w14:paraId="13C7B96F">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产出数量</w:t>
            </w:r>
          </w:p>
        </w:tc>
        <w:tc>
          <w:tcPr>
            <w:tcW w:w="422" w:type="pct"/>
            <w:shd w:val="clear" w:color="auto" w:fill="FFFFFF"/>
            <w:vAlign w:val="center"/>
          </w:tcPr>
          <w:p w14:paraId="17920434">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实际完成率</w:t>
            </w:r>
          </w:p>
        </w:tc>
        <w:tc>
          <w:tcPr>
            <w:tcW w:w="680" w:type="pct"/>
            <w:shd w:val="clear" w:color="000000" w:fill="FFFFFF"/>
            <w:vAlign w:val="center"/>
          </w:tcPr>
          <w:p w14:paraId="1A4BCC28">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项目实施的实际产出数与计划产出数的比率，用以反映和考核项目产出数量目标的实现程度。</w:t>
            </w:r>
          </w:p>
        </w:tc>
        <w:tc>
          <w:tcPr>
            <w:tcW w:w="2056" w:type="pct"/>
            <w:shd w:val="clear" w:color="000000" w:fill="FFFFFF"/>
            <w:vAlign w:val="center"/>
          </w:tcPr>
          <w:p w14:paraId="766B5F2D">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实际完成率=（实际产出数/计划产出数）×100%。</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实际产出数：一定时期（本年度或项目期）内项目实际产出的产品或提供的服务数量。</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计划产出数：项目绩效目标确定的在一定时期（本年度或项目期）内计划产出的产品或提供的服务数量。</w:t>
            </w:r>
          </w:p>
        </w:tc>
        <w:tc>
          <w:tcPr>
            <w:tcW w:w="514" w:type="pct"/>
            <w:gridSpan w:val="2"/>
            <w:shd w:val="clear" w:color="000000" w:fill="FFFFFF"/>
            <w:vAlign w:val="center"/>
          </w:tcPr>
          <w:p w14:paraId="7A502BD0">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c>
          <w:tcPr>
            <w:tcW w:w="538" w:type="pct"/>
            <w:shd w:val="clear" w:color="000000" w:fill="FFFFFF"/>
            <w:vAlign w:val="center"/>
          </w:tcPr>
          <w:p w14:paraId="3205D485">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14:paraId="793EFB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95" w:type="pct"/>
            <w:vMerge w:val="continue"/>
            <w:shd w:val="clear" w:color="auto" w:fill="FFFFFF"/>
            <w:vAlign w:val="center"/>
          </w:tcPr>
          <w:p w14:paraId="07FF60FF">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shd w:val="clear" w:color="auto" w:fill="FFFFFF"/>
            <w:vAlign w:val="center"/>
          </w:tcPr>
          <w:p w14:paraId="6C3B5638">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产出质量</w:t>
            </w:r>
          </w:p>
        </w:tc>
        <w:tc>
          <w:tcPr>
            <w:tcW w:w="422" w:type="pct"/>
            <w:shd w:val="clear" w:color="auto" w:fill="FFFFFF"/>
            <w:vAlign w:val="center"/>
          </w:tcPr>
          <w:p w14:paraId="6DC841ED">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质量达标率</w:t>
            </w:r>
          </w:p>
        </w:tc>
        <w:tc>
          <w:tcPr>
            <w:tcW w:w="680" w:type="pct"/>
            <w:shd w:val="clear" w:color="000000" w:fill="FFFFFF"/>
            <w:vAlign w:val="center"/>
          </w:tcPr>
          <w:p w14:paraId="61CF5FD6">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项目完成的质量达标产出数与实际产出数的比率，用以反映和考核项目产出质量目标的实现程度。</w:t>
            </w:r>
          </w:p>
        </w:tc>
        <w:tc>
          <w:tcPr>
            <w:tcW w:w="2056" w:type="pct"/>
            <w:shd w:val="clear" w:color="000000" w:fill="FFFFFF"/>
            <w:vAlign w:val="center"/>
          </w:tcPr>
          <w:p w14:paraId="5D596361">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质量达标率=（质量达标产出数/实际产出数）×100%。</w:t>
            </w:r>
          </w:p>
          <w:p w14:paraId="7C3CBBD8">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4" w:type="pct"/>
            <w:gridSpan w:val="2"/>
            <w:shd w:val="clear" w:color="000000" w:fill="FFFFFF"/>
            <w:vAlign w:val="center"/>
          </w:tcPr>
          <w:p w14:paraId="19C6B3B8">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c>
          <w:tcPr>
            <w:tcW w:w="538" w:type="pct"/>
            <w:shd w:val="clear" w:color="000000" w:fill="FFFFFF"/>
            <w:vAlign w:val="center"/>
          </w:tcPr>
          <w:p w14:paraId="76196158">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14:paraId="2B6006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95" w:type="pct"/>
            <w:vMerge w:val="continue"/>
            <w:shd w:val="clear" w:color="auto" w:fill="FFFFFF"/>
            <w:vAlign w:val="center"/>
          </w:tcPr>
          <w:p w14:paraId="27B1A842">
            <w:pPr>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shd w:val="clear" w:color="auto" w:fill="FFFFFF"/>
            <w:vAlign w:val="center"/>
          </w:tcPr>
          <w:p w14:paraId="27A049C5">
            <w:pPr>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产出时效</w:t>
            </w:r>
          </w:p>
        </w:tc>
        <w:tc>
          <w:tcPr>
            <w:tcW w:w="422" w:type="pct"/>
            <w:shd w:val="clear" w:color="auto" w:fill="FFFFFF"/>
            <w:vAlign w:val="center"/>
          </w:tcPr>
          <w:p w14:paraId="5574CF40">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完成及时性</w:t>
            </w:r>
          </w:p>
        </w:tc>
        <w:tc>
          <w:tcPr>
            <w:tcW w:w="680" w:type="pct"/>
            <w:shd w:val="clear" w:color="000000" w:fill="FFFFFF"/>
            <w:vAlign w:val="center"/>
          </w:tcPr>
          <w:p w14:paraId="3B490CED">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项目实际完成时间与计划完成时间的比较，用以反映和考核项目产出时效目标的实现程度。</w:t>
            </w:r>
          </w:p>
        </w:tc>
        <w:tc>
          <w:tcPr>
            <w:tcW w:w="2056" w:type="pct"/>
            <w:shd w:val="clear" w:color="000000" w:fill="FFFFFF"/>
            <w:vAlign w:val="center"/>
          </w:tcPr>
          <w:p w14:paraId="31F6D272">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实际完成时间：项目实施单位完成该项目实际所耗用的时间。</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计划完成时间：按照项目实施计划或相关规定完成该项目所需的时间。</w:t>
            </w:r>
          </w:p>
        </w:tc>
        <w:tc>
          <w:tcPr>
            <w:tcW w:w="514" w:type="pct"/>
            <w:gridSpan w:val="2"/>
            <w:shd w:val="clear" w:color="000000" w:fill="FFFFFF"/>
            <w:vAlign w:val="center"/>
          </w:tcPr>
          <w:p w14:paraId="7CE7449B">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c>
          <w:tcPr>
            <w:tcW w:w="538" w:type="pct"/>
            <w:shd w:val="clear" w:color="000000" w:fill="FFFFFF"/>
            <w:vAlign w:val="center"/>
          </w:tcPr>
          <w:p w14:paraId="41DAC46F">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14:paraId="55C1B6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95" w:type="pct"/>
            <w:vMerge w:val="continue"/>
            <w:shd w:val="clear" w:color="auto" w:fill="FFFFFF"/>
            <w:vAlign w:val="center"/>
          </w:tcPr>
          <w:p w14:paraId="79782184">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shd w:val="clear" w:color="auto" w:fill="FFFFFF"/>
            <w:vAlign w:val="center"/>
          </w:tcPr>
          <w:p w14:paraId="6333D6AE">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产出成本</w:t>
            </w:r>
          </w:p>
        </w:tc>
        <w:tc>
          <w:tcPr>
            <w:tcW w:w="422" w:type="pct"/>
            <w:shd w:val="clear" w:color="auto" w:fill="FFFFFF"/>
            <w:vAlign w:val="center"/>
          </w:tcPr>
          <w:p w14:paraId="617EB94F">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成本节约率</w:t>
            </w:r>
          </w:p>
        </w:tc>
        <w:tc>
          <w:tcPr>
            <w:tcW w:w="680" w:type="pct"/>
            <w:shd w:val="clear" w:color="000000" w:fill="FFFFFF"/>
            <w:vAlign w:val="center"/>
          </w:tcPr>
          <w:p w14:paraId="088B19F2">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完成项目计划工作目标的实际节约成本与计划成本的比率，用以反映和考核项目的成本节约程度。</w:t>
            </w:r>
          </w:p>
        </w:tc>
        <w:tc>
          <w:tcPr>
            <w:tcW w:w="2056" w:type="pct"/>
            <w:shd w:val="clear" w:color="000000" w:fill="FFFFFF"/>
            <w:vAlign w:val="center"/>
          </w:tcPr>
          <w:p w14:paraId="58A313F5">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成本节约率=[（计划成本-实际成本）/计划成本]×100%。</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实际成本：项目实施单位如期、保质、保量完成既定工作目标实际所耗费的支出。</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计划成本：项目实施单位为完成工作目标计划安排的支出，一般以项目预算为参考。</w:t>
            </w:r>
          </w:p>
        </w:tc>
        <w:tc>
          <w:tcPr>
            <w:tcW w:w="514" w:type="pct"/>
            <w:gridSpan w:val="2"/>
            <w:shd w:val="clear" w:color="000000" w:fill="FFFFFF"/>
            <w:vAlign w:val="center"/>
          </w:tcPr>
          <w:p w14:paraId="1AA66710">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c>
          <w:tcPr>
            <w:tcW w:w="538" w:type="pct"/>
            <w:shd w:val="clear" w:color="000000" w:fill="FFFFFF"/>
            <w:vAlign w:val="center"/>
          </w:tcPr>
          <w:p w14:paraId="5AA989E3">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14:paraId="2D57DB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95" w:type="pct"/>
            <w:vMerge w:val="restart"/>
            <w:shd w:val="clear" w:color="auto" w:fill="FFFFFF"/>
            <w:vAlign w:val="center"/>
          </w:tcPr>
          <w:p w14:paraId="407A8436">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效益　</w:t>
            </w:r>
          </w:p>
        </w:tc>
        <w:tc>
          <w:tcPr>
            <w:tcW w:w="394" w:type="pct"/>
            <w:vMerge w:val="restart"/>
            <w:shd w:val="clear" w:color="auto" w:fill="FFFFFF"/>
            <w:vAlign w:val="center"/>
          </w:tcPr>
          <w:p w14:paraId="21FCFCD8">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项目效益　</w:t>
            </w:r>
          </w:p>
        </w:tc>
        <w:tc>
          <w:tcPr>
            <w:tcW w:w="422" w:type="pct"/>
            <w:shd w:val="clear" w:color="auto" w:fill="FFFFFF"/>
            <w:vAlign w:val="center"/>
          </w:tcPr>
          <w:p w14:paraId="6E48256B">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实施效益</w:t>
            </w:r>
          </w:p>
        </w:tc>
        <w:tc>
          <w:tcPr>
            <w:tcW w:w="680" w:type="pct"/>
            <w:shd w:val="clear" w:color="auto" w:fill="FFFFFF"/>
            <w:vAlign w:val="center"/>
          </w:tcPr>
          <w:p w14:paraId="795E0B36">
            <w:pPr>
              <w:widowControl/>
              <w:spacing w:line="0" w:lineRule="atLeast"/>
              <w:jc w:val="lef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项目实施所产生的效益。</w:t>
            </w:r>
          </w:p>
        </w:tc>
        <w:tc>
          <w:tcPr>
            <w:tcW w:w="2056" w:type="pct"/>
            <w:shd w:val="clear" w:color="auto" w:fill="FFFFFF"/>
            <w:vAlign w:val="center"/>
          </w:tcPr>
          <w:p w14:paraId="153D9E8C">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项目实施所产生的社会效益、经济效益、生态效益、可持续影响等。可根据项目实际情况有选择地设置和细化。</w:t>
            </w:r>
          </w:p>
        </w:tc>
        <w:tc>
          <w:tcPr>
            <w:tcW w:w="514" w:type="pct"/>
            <w:gridSpan w:val="2"/>
            <w:shd w:val="clear" w:color="auto" w:fill="FFFFFF"/>
            <w:vAlign w:val="center"/>
          </w:tcPr>
          <w:p w14:paraId="7EAE660F">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538" w:type="pct"/>
            <w:shd w:val="clear" w:color="auto" w:fill="FFFFFF"/>
            <w:vAlign w:val="center"/>
          </w:tcPr>
          <w:p w14:paraId="0267F851">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ascii="Times New Roman" w:hAnsi="Times New Roman" w:eastAsia="仿宋_GB2312" w:cs="Times New Roman"/>
                <w:b/>
                <w:bCs/>
                <w:color w:val="000000"/>
                <w:kern w:val="0"/>
                <w:sz w:val="18"/>
                <w:szCs w:val="18"/>
                <w:highlight w:val="none"/>
                <w:lang w:val="en-US" w:eastAsia="zh-CN"/>
              </w:rPr>
              <w:t>10</w:t>
            </w:r>
          </w:p>
        </w:tc>
      </w:tr>
      <w:tr w14:paraId="0CDD7A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95" w:type="pct"/>
            <w:vMerge w:val="continue"/>
            <w:shd w:val="clear" w:color="auto" w:fill="FFFFFF"/>
            <w:vAlign w:val="center"/>
          </w:tcPr>
          <w:p w14:paraId="6122E626">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vMerge w:val="continue"/>
            <w:shd w:val="clear" w:color="auto" w:fill="FFFFFF"/>
            <w:vAlign w:val="center"/>
          </w:tcPr>
          <w:p w14:paraId="4981F3CC">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422" w:type="pct"/>
            <w:shd w:val="clear" w:color="auto" w:fill="FFFFFF"/>
            <w:vAlign w:val="center"/>
          </w:tcPr>
          <w:p w14:paraId="44F2D309">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满意度</w:t>
            </w:r>
          </w:p>
        </w:tc>
        <w:tc>
          <w:tcPr>
            <w:tcW w:w="680" w:type="pct"/>
            <w:shd w:val="clear" w:color="000000" w:fill="FFFFFF"/>
            <w:vAlign w:val="center"/>
          </w:tcPr>
          <w:p w14:paraId="47FAA55F">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社会公众或服务对象对项目实施效果的满意程度。</w:t>
            </w:r>
          </w:p>
        </w:tc>
        <w:tc>
          <w:tcPr>
            <w:tcW w:w="2056" w:type="pct"/>
            <w:shd w:val="clear" w:color="000000" w:fill="FFFFFF"/>
            <w:vAlign w:val="center"/>
          </w:tcPr>
          <w:p w14:paraId="00C88B87">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社会公众或服务对象是指因该项目实施而受到影响的部门（单位）、群体或个人。一般采取社会调查的方式。</w:t>
            </w:r>
          </w:p>
        </w:tc>
        <w:tc>
          <w:tcPr>
            <w:tcW w:w="514" w:type="pct"/>
            <w:gridSpan w:val="2"/>
            <w:shd w:val="clear" w:color="000000" w:fill="FFFFFF"/>
            <w:vAlign w:val="center"/>
          </w:tcPr>
          <w:p w14:paraId="40EDE37F">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538" w:type="pct"/>
            <w:shd w:val="clear" w:color="000000" w:fill="FFFFFF"/>
            <w:vAlign w:val="center"/>
          </w:tcPr>
          <w:p w14:paraId="6EF7EC98">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ascii="Times New Roman" w:hAnsi="Times New Roman" w:eastAsia="仿宋_GB2312" w:cs="Times New Roman"/>
                <w:b/>
                <w:bCs/>
                <w:color w:val="000000"/>
                <w:kern w:val="0"/>
                <w:sz w:val="18"/>
                <w:szCs w:val="18"/>
                <w:highlight w:val="none"/>
                <w:lang w:val="en-US" w:eastAsia="zh-CN"/>
              </w:rPr>
              <w:t>10</w:t>
            </w:r>
          </w:p>
        </w:tc>
      </w:tr>
      <w:tr w14:paraId="2F2D7E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93" w:hRule="atLeast"/>
          <w:jc w:val="center"/>
        </w:trPr>
        <w:tc>
          <w:tcPr>
            <w:tcW w:w="3949" w:type="pct"/>
            <w:gridSpan w:val="6"/>
            <w:shd w:val="clear" w:color="auto" w:fill="FFFFFF"/>
            <w:vAlign w:val="center"/>
          </w:tcPr>
          <w:p w14:paraId="2B863E0F">
            <w:pPr>
              <w:widowControl/>
              <w:spacing w:line="0" w:lineRule="atLeast"/>
              <w:jc w:val="center"/>
              <w:rPr>
                <w:rFonts w:hint="eastAsia" w:ascii="Times New Roman" w:hAnsi="Times New Roman" w:eastAsia="仿宋_GB2312" w:cs="Times New Roman"/>
                <w:b/>
                <w:bCs/>
                <w:color w:val="000000"/>
                <w:kern w:val="0"/>
                <w:sz w:val="18"/>
                <w:szCs w:val="18"/>
                <w:highlight w:val="none"/>
                <w:lang w:val="en-US" w:eastAsia="zh-CN"/>
              </w:rPr>
            </w:pPr>
            <w:r>
              <w:rPr>
                <w:rFonts w:hint="eastAsia" w:ascii="Times New Roman" w:hAnsi="Times New Roman" w:eastAsia="仿宋_GB2312" w:cs="Times New Roman"/>
                <w:b/>
                <w:bCs/>
                <w:color w:val="000000"/>
                <w:kern w:val="0"/>
                <w:sz w:val="18"/>
                <w:szCs w:val="18"/>
                <w:highlight w:val="none"/>
                <w:lang w:val="en-US" w:eastAsia="zh-CN"/>
              </w:rPr>
              <w:t>合计</w:t>
            </w:r>
          </w:p>
        </w:tc>
        <w:tc>
          <w:tcPr>
            <w:tcW w:w="512" w:type="pct"/>
            <w:shd w:val="clear" w:color="000000" w:fill="FFFFFF"/>
            <w:vAlign w:val="center"/>
          </w:tcPr>
          <w:p w14:paraId="4E95BD9D">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fldChar w:fldCharType="begin"/>
            </w:r>
            <w:r>
              <w:rPr>
                <w:rFonts w:hint="default" w:ascii="Times New Roman" w:hAnsi="Times New Roman" w:eastAsia="仿宋_GB2312" w:cs="Times New Roman"/>
                <w:b/>
                <w:bCs/>
                <w:color w:val="000000"/>
                <w:kern w:val="0"/>
                <w:sz w:val="18"/>
                <w:szCs w:val="18"/>
                <w:highlight w:val="none"/>
              </w:rPr>
              <w:instrText xml:space="preserve"> = sum(F2:F18) \* MERGEFORMAT </w:instrText>
            </w:r>
            <w:r>
              <w:rPr>
                <w:rFonts w:hint="default" w:ascii="Times New Roman" w:hAnsi="Times New Roman" w:eastAsia="仿宋_GB2312" w:cs="Times New Roman"/>
                <w:b/>
                <w:bCs/>
                <w:color w:val="000000"/>
                <w:kern w:val="0"/>
                <w:sz w:val="18"/>
                <w:szCs w:val="18"/>
                <w:highlight w:val="none"/>
              </w:rPr>
              <w:fldChar w:fldCharType="separate"/>
            </w:r>
            <w:r>
              <w:rPr>
                <w:rFonts w:hint="default" w:ascii="Times New Roman" w:hAnsi="Times New Roman" w:eastAsia="仿宋_GB2312" w:cs="Times New Roman"/>
                <w:b/>
                <w:bCs/>
                <w:color w:val="000000"/>
                <w:kern w:val="0"/>
                <w:sz w:val="18"/>
                <w:szCs w:val="18"/>
                <w:highlight w:val="none"/>
              </w:rPr>
              <w:t>100</w:t>
            </w:r>
            <w:r>
              <w:rPr>
                <w:rFonts w:hint="default" w:ascii="Times New Roman" w:hAnsi="Times New Roman" w:eastAsia="仿宋_GB2312" w:cs="Times New Roman"/>
                <w:b/>
                <w:bCs/>
                <w:color w:val="000000"/>
                <w:kern w:val="0"/>
                <w:sz w:val="18"/>
                <w:szCs w:val="18"/>
                <w:highlight w:val="none"/>
              </w:rPr>
              <w:fldChar w:fldCharType="end"/>
            </w:r>
          </w:p>
        </w:tc>
        <w:tc>
          <w:tcPr>
            <w:tcW w:w="538" w:type="pct"/>
            <w:shd w:val="clear" w:color="000000" w:fill="FFFFFF"/>
            <w:vAlign w:val="center"/>
          </w:tcPr>
          <w:p w14:paraId="33BB8A15">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ascii="Times New Roman" w:hAnsi="Times New Roman" w:eastAsia="仿宋_GB2312" w:cs="Times New Roman"/>
                <w:b/>
                <w:bCs/>
                <w:color w:val="000000"/>
                <w:kern w:val="0"/>
                <w:sz w:val="18"/>
                <w:szCs w:val="18"/>
                <w:highlight w:val="none"/>
                <w:lang w:val="en-US" w:eastAsia="zh-CN"/>
              </w:rPr>
              <w:t>99.76</w:t>
            </w:r>
          </w:p>
        </w:tc>
      </w:tr>
    </w:tbl>
    <w:p w14:paraId="5933943F">
      <w:pPr>
        <w:rPr>
          <w:rFonts w:hint="default" w:ascii="Times New Roman" w:hAnsi="Times New Roman" w:cs="Times New Roman"/>
        </w:rPr>
        <w:sectPr>
          <w:pgSz w:w="16838" w:h="11906" w:orient="landscape"/>
          <w:pgMar w:top="1800" w:right="1440" w:bottom="1558" w:left="1440" w:header="851" w:footer="992" w:gutter="0"/>
          <w:cols w:space="425" w:num="1"/>
          <w:docGrid w:type="lines" w:linePitch="312" w:charSpace="0"/>
        </w:sectPr>
      </w:pPr>
    </w:p>
    <w:p w14:paraId="32B738EE">
      <w:pPr>
        <w:spacing w:line="600" w:lineRule="exact"/>
        <w:rPr>
          <w:rFonts w:hint="eastAsia"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附件2</w:t>
      </w:r>
    </w:p>
    <w:p w14:paraId="6CCEF6D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仿宋_GB2312" w:cs="仿宋_GB2312"/>
          <w:b/>
          <w:bCs/>
          <w:i w:val="0"/>
          <w:iCs w:val="0"/>
          <w:color w:val="000000"/>
          <w:kern w:val="0"/>
          <w:sz w:val="28"/>
          <w:szCs w:val="28"/>
          <w:u w:val="none"/>
          <w:lang w:val="en-US" w:eastAsia="zh-CN" w:bidi="ar"/>
        </w:rPr>
      </w:pPr>
      <w:r>
        <w:rPr>
          <w:rFonts w:hint="eastAsia" w:ascii="Times New Roman" w:hAnsi="Times New Roman" w:eastAsia="仿宋_GB2312" w:cs="仿宋_GB2312"/>
          <w:b/>
          <w:bCs/>
          <w:i w:val="0"/>
          <w:iCs w:val="0"/>
          <w:color w:val="000000"/>
          <w:kern w:val="0"/>
          <w:sz w:val="28"/>
          <w:szCs w:val="28"/>
          <w:u w:val="none"/>
          <w:lang w:val="en-US" w:eastAsia="zh-CN" w:bidi="ar"/>
        </w:rPr>
        <w:t>项目支出绩效自评表</w:t>
      </w:r>
    </w:p>
    <w:p w14:paraId="3CD63C4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i w:val="0"/>
          <w:iCs w:val="0"/>
          <w:color w:val="000000"/>
          <w:kern w:val="0"/>
          <w:sz w:val="22"/>
          <w:szCs w:val="22"/>
          <w:u w:val="none"/>
          <w:lang w:val="en-US" w:eastAsia="zh-CN" w:bidi="ar"/>
        </w:rPr>
      </w:pPr>
      <w:r>
        <w:rPr>
          <w:rFonts w:hint="default" w:ascii="Times New Roman" w:hAnsi="Times New Roman" w:eastAsia="仿宋_GB2312" w:cs="Times New Roman"/>
          <w:b/>
          <w:bCs/>
          <w:i w:val="0"/>
          <w:iCs w:val="0"/>
          <w:color w:val="000000"/>
          <w:kern w:val="0"/>
          <w:sz w:val="22"/>
          <w:szCs w:val="22"/>
          <w:u w:val="none"/>
          <w:lang w:val="en-US" w:eastAsia="zh-CN" w:bidi="ar"/>
        </w:rPr>
        <w:t>（ 2024年度）</w:t>
      </w:r>
    </w:p>
    <w:tbl>
      <w:tblPr>
        <w:tblStyle w:val="14"/>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90"/>
        <w:gridCol w:w="590"/>
        <w:gridCol w:w="590"/>
        <w:gridCol w:w="1327"/>
        <w:gridCol w:w="941"/>
        <w:gridCol w:w="941"/>
        <w:gridCol w:w="944"/>
        <w:gridCol w:w="941"/>
        <w:gridCol w:w="941"/>
        <w:gridCol w:w="941"/>
        <w:gridCol w:w="941"/>
        <w:gridCol w:w="1131"/>
        <w:gridCol w:w="1006"/>
        <w:gridCol w:w="2347"/>
      </w:tblGrid>
      <w:tr w14:paraId="53D964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41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0612B3">
            <w:pPr>
              <w:keepNext w:val="0"/>
              <w:keepLines w:val="0"/>
              <w:widowControl/>
              <w:suppressLineNumbers w:val="0"/>
              <w:jc w:val="center"/>
              <w:textAlignment w:val="center"/>
              <w:rPr>
                <w:rFonts w:hint="eastAsia" w:ascii="Times New Roman" w:hAnsi="Times New Roman" w:eastAsia="仿宋_GB2312" w:cs="仿宋_GB2312"/>
                <w:b/>
                <w:bCs/>
                <w:i w:val="0"/>
                <w:iCs w:val="0"/>
                <w:color w:val="000000"/>
                <w:sz w:val="18"/>
                <w:szCs w:val="18"/>
                <w:u w:val="none"/>
              </w:rPr>
            </w:pPr>
            <w:r>
              <w:rPr>
                <w:rFonts w:hint="eastAsia" w:ascii="Times New Roman" w:hAnsi="Times New Roman" w:eastAsia="仿宋_GB2312" w:cs="仿宋_GB2312"/>
                <w:b/>
                <w:bCs/>
                <w:i w:val="0"/>
                <w:iCs w:val="0"/>
                <w:color w:val="000000"/>
                <w:kern w:val="0"/>
                <w:sz w:val="18"/>
                <w:szCs w:val="18"/>
                <w:u w:val="none"/>
                <w:lang w:val="en-US" w:eastAsia="zh-CN" w:bidi="ar"/>
              </w:rPr>
              <w:t>项目名称</w:t>
            </w:r>
          </w:p>
        </w:tc>
        <w:tc>
          <w:tcPr>
            <w:tcW w:w="4583" w:type="pct"/>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309977D6">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2024年自治区安全生产及应急专项资金</w:t>
            </w:r>
          </w:p>
        </w:tc>
      </w:tr>
      <w:tr w14:paraId="14BDDA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41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09EAB4">
            <w:pPr>
              <w:keepNext w:val="0"/>
              <w:keepLines w:val="0"/>
              <w:widowControl/>
              <w:suppressLineNumbers w:val="0"/>
              <w:jc w:val="center"/>
              <w:textAlignment w:val="center"/>
              <w:rPr>
                <w:rFonts w:hint="eastAsia" w:ascii="Times New Roman" w:hAnsi="Times New Roman" w:eastAsia="仿宋_GB2312" w:cs="仿宋_GB2312"/>
                <w:b/>
                <w:bCs/>
                <w:i w:val="0"/>
                <w:iCs w:val="0"/>
                <w:color w:val="000000"/>
                <w:sz w:val="18"/>
                <w:szCs w:val="18"/>
                <w:u w:val="none"/>
              </w:rPr>
            </w:pPr>
            <w:r>
              <w:rPr>
                <w:rFonts w:hint="eastAsia" w:ascii="Times New Roman" w:hAnsi="Times New Roman" w:eastAsia="仿宋_GB2312" w:cs="仿宋_GB2312"/>
                <w:b/>
                <w:bCs/>
                <w:i w:val="0"/>
                <w:iCs w:val="0"/>
                <w:color w:val="000000"/>
                <w:kern w:val="0"/>
                <w:sz w:val="18"/>
                <w:szCs w:val="18"/>
                <w:u w:val="none"/>
                <w:lang w:val="en-US" w:eastAsia="zh-CN" w:bidi="ar"/>
              </w:rPr>
              <w:t>主管部门</w:t>
            </w:r>
          </w:p>
        </w:tc>
        <w:tc>
          <w:tcPr>
            <w:tcW w:w="1673"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FBE53FB">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新疆维吾尔自治区应急管理厅机关（行政）</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162A23">
            <w:pPr>
              <w:keepNext w:val="0"/>
              <w:keepLines w:val="0"/>
              <w:widowControl/>
              <w:suppressLineNumbers w:val="0"/>
              <w:jc w:val="center"/>
              <w:textAlignment w:val="center"/>
              <w:rPr>
                <w:rFonts w:hint="eastAsia" w:ascii="Times New Roman" w:hAnsi="Times New Roman" w:eastAsia="仿宋_GB2312" w:cs="仿宋_GB2312"/>
                <w:b/>
                <w:bCs/>
                <w:i w:val="0"/>
                <w:iCs w:val="0"/>
                <w:color w:val="000000"/>
                <w:sz w:val="18"/>
                <w:szCs w:val="18"/>
                <w:u w:val="none"/>
              </w:rPr>
            </w:pPr>
            <w:r>
              <w:rPr>
                <w:rFonts w:hint="eastAsia" w:ascii="Times New Roman" w:hAnsi="Times New Roman" w:eastAsia="仿宋_GB2312" w:cs="仿宋_GB2312"/>
                <w:b/>
                <w:bCs/>
                <w:i w:val="0"/>
                <w:iCs w:val="0"/>
                <w:color w:val="000000"/>
                <w:kern w:val="0"/>
                <w:sz w:val="18"/>
                <w:szCs w:val="18"/>
                <w:u w:val="none"/>
                <w:lang w:val="en-US" w:eastAsia="zh-CN" w:bidi="ar"/>
              </w:rPr>
              <w:t>实施单位</w:t>
            </w:r>
          </w:p>
        </w:tc>
        <w:tc>
          <w:tcPr>
            <w:tcW w:w="2244"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E5FEA6A">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新疆维吾尔自治区应急管理厅机关（行政）</w:t>
            </w:r>
          </w:p>
        </w:tc>
      </w:tr>
      <w:tr w14:paraId="134541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16"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DCA28A1">
            <w:pPr>
              <w:keepNext w:val="0"/>
              <w:keepLines w:val="0"/>
              <w:widowControl/>
              <w:suppressLineNumbers w:val="0"/>
              <w:jc w:val="center"/>
              <w:textAlignment w:val="center"/>
              <w:rPr>
                <w:rFonts w:hint="eastAsia" w:ascii="Times New Roman" w:hAnsi="Times New Roman" w:eastAsia="仿宋_GB2312" w:cs="仿宋_GB2312"/>
                <w:b/>
                <w:bCs/>
                <w:i w:val="0"/>
                <w:iCs w:val="0"/>
                <w:color w:val="000000"/>
                <w:sz w:val="18"/>
                <w:szCs w:val="18"/>
                <w:u w:val="none"/>
              </w:rPr>
            </w:pPr>
            <w:r>
              <w:rPr>
                <w:rFonts w:hint="eastAsia" w:ascii="Times New Roman" w:hAnsi="Times New Roman" w:eastAsia="仿宋_GB2312" w:cs="仿宋_GB2312"/>
                <w:b/>
                <w:bCs/>
                <w:i w:val="0"/>
                <w:iCs w:val="0"/>
                <w:color w:val="000000"/>
                <w:kern w:val="0"/>
                <w:sz w:val="18"/>
                <w:szCs w:val="18"/>
                <w:u w:val="none"/>
                <w:lang w:val="en-US" w:eastAsia="zh-CN" w:bidi="ar"/>
              </w:rPr>
              <w:t>项目资金</w:t>
            </w:r>
            <w:r>
              <w:rPr>
                <w:rFonts w:hint="eastAsia" w:ascii="Times New Roman" w:hAnsi="Times New Roman" w:eastAsia="仿宋_GB2312" w:cs="仿宋_GB2312"/>
                <w:b/>
                <w:bCs/>
                <w:i w:val="0"/>
                <w:iCs w:val="0"/>
                <w:color w:val="000000"/>
                <w:kern w:val="0"/>
                <w:sz w:val="18"/>
                <w:szCs w:val="18"/>
                <w:u w:val="none"/>
                <w:lang w:val="en-US" w:eastAsia="zh-CN" w:bidi="ar"/>
              </w:rPr>
              <w:br w:type="textWrapping"/>
            </w:r>
            <w:r>
              <w:rPr>
                <w:rFonts w:hint="eastAsia" w:ascii="Times New Roman" w:hAnsi="Times New Roman" w:eastAsia="仿宋_GB2312" w:cs="仿宋_GB2312"/>
                <w:b/>
                <w:bCs/>
                <w:i w:val="0"/>
                <w:iCs w:val="0"/>
                <w:color w:val="000000"/>
                <w:kern w:val="0"/>
                <w:sz w:val="18"/>
                <w:szCs w:val="18"/>
                <w:u w:val="none"/>
                <w:lang w:val="en-US" w:eastAsia="zh-CN" w:bidi="ar"/>
              </w:rPr>
              <w:t>（万元）</w:t>
            </w:r>
          </w:p>
        </w:tc>
        <w:tc>
          <w:tcPr>
            <w:tcW w:w="67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A81C30">
            <w:pPr>
              <w:jc w:val="center"/>
              <w:rPr>
                <w:rFonts w:hint="eastAsia" w:ascii="Times New Roman" w:hAnsi="Times New Roman" w:eastAsia="仿宋_GB2312" w:cs="仿宋_GB2312"/>
                <w:b/>
                <w:bCs/>
                <w:i w:val="0"/>
                <w:iCs w:val="0"/>
                <w:color w:val="000000"/>
                <w:sz w:val="18"/>
                <w:szCs w:val="18"/>
                <w:u w:val="none"/>
              </w:rPr>
            </w:pP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95E226">
            <w:pPr>
              <w:keepNext w:val="0"/>
              <w:keepLines w:val="0"/>
              <w:widowControl/>
              <w:suppressLineNumbers w:val="0"/>
              <w:jc w:val="center"/>
              <w:textAlignment w:val="center"/>
              <w:rPr>
                <w:rFonts w:hint="eastAsia" w:ascii="Times New Roman" w:hAnsi="Times New Roman" w:eastAsia="仿宋_GB2312" w:cs="仿宋_GB2312"/>
                <w:b/>
                <w:bCs/>
                <w:i w:val="0"/>
                <w:iCs w:val="0"/>
                <w:color w:val="000000"/>
                <w:sz w:val="18"/>
                <w:szCs w:val="18"/>
                <w:u w:val="none"/>
              </w:rPr>
            </w:pPr>
            <w:r>
              <w:rPr>
                <w:rFonts w:hint="eastAsia" w:ascii="Times New Roman" w:hAnsi="Times New Roman" w:eastAsia="仿宋_GB2312" w:cs="仿宋_GB2312"/>
                <w:b/>
                <w:bCs/>
                <w:i w:val="0"/>
                <w:iCs w:val="0"/>
                <w:color w:val="000000"/>
                <w:kern w:val="0"/>
                <w:sz w:val="18"/>
                <w:szCs w:val="18"/>
                <w:u w:val="none"/>
                <w:lang w:val="en-US" w:eastAsia="zh-CN" w:bidi="ar"/>
              </w:rPr>
              <w:t>年初预算数</w:t>
            </w:r>
          </w:p>
        </w:tc>
        <w:tc>
          <w:tcPr>
            <w:tcW w:w="6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12F01C">
            <w:pPr>
              <w:keepNext w:val="0"/>
              <w:keepLines w:val="0"/>
              <w:widowControl/>
              <w:suppressLineNumbers w:val="0"/>
              <w:jc w:val="center"/>
              <w:textAlignment w:val="center"/>
              <w:rPr>
                <w:rFonts w:hint="eastAsia" w:ascii="Times New Roman" w:hAnsi="Times New Roman" w:eastAsia="仿宋_GB2312" w:cs="仿宋_GB2312"/>
                <w:b/>
                <w:bCs/>
                <w:i w:val="0"/>
                <w:iCs w:val="0"/>
                <w:color w:val="000000"/>
                <w:sz w:val="18"/>
                <w:szCs w:val="18"/>
                <w:u w:val="none"/>
              </w:rPr>
            </w:pPr>
            <w:r>
              <w:rPr>
                <w:rFonts w:hint="eastAsia" w:ascii="Times New Roman" w:hAnsi="Times New Roman" w:eastAsia="仿宋_GB2312" w:cs="仿宋_GB2312"/>
                <w:b/>
                <w:bCs/>
                <w:i w:val="0"/>
                <w:iCs w:val="0"/>
                <w:color w:val="000000"/>
                <w:kern w:val="0"/>
                <w:sz w:val="18"/>
                <w:szCs w:val="18"/>
                <w:u w:val="none"/>
                <w:lang w:val="en-US" w:eastAsia="zh-CN" w:bidi="ar"/>
              </w:rPr>
              <w:t>全年预算数</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BC5391">
            <w:pPr>
              <w:keepNext w:val="0"/>
              <w:keepLines w:val="0"/>
              <w:widowControl/>
              <w:suppressLineNumbers w:val="0"/>
              <w:jc w:val="center"/>
              <w:textAlignment w:val="center"/>
              <w:rPr>
                <w:rFonts w:hint="eastAsia" w:ascii="Times New Roman" w:hAnsi="Times New Roman" w:eastAsia="仿宋_GB2312" w:cs="仿宋_GB2312"/>
                <w:b/>
                <w:bCs/>
                <w:i w:val="0"/>
                <w:iCs w:val="0"/>
                <w:color w:val="000000"/>
                <w:sz w:val="18"/>
                <w:szCs w:val="18"/>
                <w:u w:val="none"/>
              </w:rPr>
            </w:pPr>
            <w:r>
              <w:rPr>
                <w:rFonts w:hint="eastAsia" w:ascii="Times New Roman" w:hAnsi="Times New Roman" w:eastAsia="仿宋_GB2312" w:cs="仿宋_GB2312"/>
                <w:b/>
                <w:bCs/>
                <w:i w:val="0"/>
                <w:iCs w:val="0"/>
                <w:color w:val="000000"/>
                <w:kern w:val="0"/>
                <w:sz w:val="18"/>
                <w:szCs w:val="18"/>
                <w:u w:val="none"/>
                <w:lang w:val="en-US" w:eastAsia="zh-CN" w:bidi="ar"/>
              </w:rPr>
              <w:t>全年执行数</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1BBC6E">
            <w:pPr>
              <w:keepNext w:val="0"/>
              <w:keepLines w:val="0"/>
              <w:widowControl/>
              <w:suppressLineNumbers w:val="0"/>
              <w:jc w:val="center"/>
              <w:textAlignment w:val="center"/>
              <w:rPr>
                <w:rFonts w:hint="eastAsia" w:ascii="Times New Roman" w:hAnsi="Times New Roman" w:eastAsia="仿宋_GB2312" w:cs="仿宋_GB2312"/>
                <w:b/>
                <w:bCs/>
                <w:i w:val="0"/>
                <w:iCs w:val="0"/>
                <w:color w:val="000000"/>
                <w:sz w:val="18"/>
                <w:szCs w:val="18"/>
                <w:u w:val="none"/>
              </w:rPr>
            </w:pPr>
            <w:r>
              <w:rPr>
                <w:rFonts w:hint="eastAsia" w:ascii="Times New Roman" w:hAnsi="Times New Roman" w:eastAsia="仿宋_GB2312" w:cs="仿宋_GB2312"/>
                <w:b/>
                <w:bCs/>
                <w:i w:val="0"/>
                <w:iCs w:val="0"/>
                <w:color w:val="000000"/>
                <w:kern w:val="0"/>
                <w:sz w:val="18"/>
                <w:szCs w:val="18"/>
                <w:u w:val="none"/>
                <w:lang w:val="en-US" w:eastAsia="zh-CN" w:bidi="ar"/>
              </w:rPr>
              <w:t>分值</w:t>
            </w:r>
          </w:p>
        </w:tc>
        <w:tc>
          <w:tcPr>
            <w:tcW w:w="75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0F7830">
            <w:pPr>
              <w:keepNext w:val="0"/>
              <w:keepLines w:val="0"/>
              <w:widowControl/>
              <w:suppressLineNumbers w:val="0"/>
              <w:jc w:val="center"/>
              <w:textAlignment w:val="center"/>
              <w:rPr>
                <w:rFonts w:hint="eastAsia" w:ascii="Times New Roman" w:hAnsi="Times New Roman" w:eastAsia="仿宋_GB2312" w:cs="仿宋_GB2312"/>
                <w:b/>
                <w:bCs/>
                <w:i w:val="0"/>
                <w:iCs w:val="0"/>
                <w:color w:val="000000"/>
                <w:sz w:val="18"/>
                <w:szCs w:val="18"/>
                <w:u w:val="none"/>
              </w:rPr>
            </w:pPr>
            <w:r>
              <w:rPr>
                <w:rFonts w:hint="eastAsia" w:ascii="Times New Roman" w:hAnsi="Times New Roman" w:eastAsia="仿宋_GB2312" w:cs="仿宋_GB2312"/>
                <w:b/>
                <w:bCs/>
                <w:i w:val="0"/>
                <w:iCs w:val="0"/>
                <w:color w:val="000000"/>
                <w:kern w:val="0"/>
                <w:sz w:val="18"/>
                <w:szCs w:val="18"/>
                <w:u w:val="none"/>
                <w:lang w:val="en-US" w:eastAsia="zh-CN" w:bidi="ar"/>
              </w:rPr>
              <w:t>执行率</w:t>
            </w:r>
          </w:p>
        </w:tc>
        <w:tc>
          <w:tcPr>
            <w:tcW w:w="8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CCA8CF">
            <w:pPr>
              <w:keepNext w:val="0"/>
              <w:keepLines w:val="0"/>
              <w:widowControl/>
              <w:suppressLineNumbers w:val="0"/>
              <w:jc w:val="center"/>
              <w:textAlignment w:val="center"/>
              <w:rPr>
                <w:rFonts w:hint="eastAsia" w:ascii="Times New Roman" w:hAnsi="Times New Roman" w:eastAsia="仿宋_GB2312" w:cs="仿宋_GB2312"/>
                <w:b/>
                <w:bCs/>
                <w:i w:val="0"/>
                <w:iCs w:val="0"/>
                <w:color w:val="000000"/>
                <w:sz w:val="18"/>
                <w:szCs w:val="18"/>
                <w:u w:val="none"/>
              </w:rPr>
            </w:pPr>
            <w:r>
              <w:rPr>
                <w:rFonts w:hint="eastAsia" w:ascii="Times New Roman" w:hAnsi="Times New Roman" w:eastAsia="仿宋_GB2312" w:cs="仿宋_GB2312"/>
                <w:b/>
                <w:bCs/>
                <w:i w:val="0"/>
                <w:iCs w:val="0"/>
                <w:color w:val="000000"/>
                <w:kern w:val="0"/>
                <w:sz w:val="18"/>
                <w:szCs w:val="18"/>
                <w:u w:val="none"/>
                <w:lang w:val="en-US" w:eastAsia="zh-CN" w:bidi="ar"/>
              </w:rPr>
              <w:t>得分</w:t>
            </w:r>
          </w:p>
        </w:tc>
      </w:tr>
      <w:tr w14:paraId="3C2AE7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41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F71091">
            <w:pPr>
              <w:jc w:val="center"/>
              <w:rPr>
                <w:rFonts w:hint="eastAsia" w:ascii="Times New Roman" w:hAnsi="Times New Roman" w:eastAsia="仿宋_GB2312" w:cs="仿宋_GB2312"/>
                <w:b/>
                <w:bCs/>
                <w:i w:val="0"/>
                <w:iCs w:val="0"/>
                <w:color w:val="000000"/>
                <w:sz w:val="18"/>
                <w:szCs w:val="18"/>
                <w:u w:val="none"/>
              </w:rPr>
            </w:pPr>
          </w:p>
        </w:tc>
        <w:tc>
          <w:tcPr>
            <w:tcW w:w="67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B67B7C">
            <w:pPr>
              <w:keepNext w:val="0"/>
              <w:keepLines w:val="0"/>
              <w:widowControl/>
              <w:suppressLineNumbers w:val="0"/>
              <w:jc w:val="center"/>
              <w:textAlignment w:val="center"/>
              <w:rPr>
                <w:rFonts w:hint="eastAsia" w:ascii="Times New Roman" w:hAnsi="Times New Roman" w:eastAsia="仿宋_GB2312" w:cs="仿宋_GB2312"/>
                <w:b/>
                <w:bCs/>
                <w:i w:val="0"/>
                <w:iCs w:val="0"/>
                <w:color w:val="000000"/>
                <w:sz w:val="18"/>
                <w:szCs w:val="18"/>
                <w:u w:val="none"/>
              </w:rPr>
            </w:pPr>
            <w:r>
              <w:rPr>
                <w:rFonts w:hint="eastAsia" w:ascii="Times New Roman" w:hAnsi="Times New Roman" w:eastAsia="仿宋_GB2312" w:cs="仿宋_GB2312"/>
                <w:b/>
                <w:bCs/>
                <w:i w:val="0"/>
                <w:iCs w:val="0"/>
                <w:color w:val="000000"/>
                <w:kern w:val="0"/>
                <w:sz w:val="18"/>
                <w:szCs w:val="18"/>
                <w:u w:val="none"/>
                <w:lang w:val="en-US" w:eastAsia="zh-CN" w:bidi="ar"/>
              </w:rPr>
              <w:t>年度资金总额</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17BCE0">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4300.00</w:t>
            </w:r>
          </w:p>
        </w:tc>
        <w:tc>
          <w:tcPr>
            <w:tcW w:w="6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80F5B9">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4300.00</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1ED4FB">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4044.25</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71A28B">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10</w:t>
            </w:r>
          </w:p>
        </w:tc>
        <w:tc>
          <w:tcPr>
            <w:tcW w:w="75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AC77CC">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94.05%</w:t>
            </w:r>
          </w:p>
        </w:tc>
        <w:tc>
          <w:tcPr>
            <w:tcW w:w="8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23F8AC">
            <w:pPr>
              <w:jc w:val="center"/>
              <w:rPr>
                <w:rFonts w:hint="default" w:ascii="Times New Roman" w:hAnsi="Times New Roman" w:eastAsia="仿宋_GB2312" w:cs="仿宋_GB2312"/>
                <w:i w:val="0"/>
                <w:iCs w:val="0"/>
                <w:color w:val="000000"/>
                <w:sz w:val="18"/>
                <w:szCs w:val="18"/>
                <w:u w:val="none"/>
                <w:lang w:val="en-US" w:eastAsia="zh-CN"/>
              </w:rPr>
            </w:pPr>
            <w:r>
              <w:rPr>
                <w:rFonts w:hint="eastAsia" w:eastAsia="仿宋_GB2312" w:cs="仿宋_GB2312"/>
                <w:i w:val="0"/>
                <w:iCs w:val="0"/>
                <w:color w:val="000000"/>
                <w:sz w:val="18"/>
                <w:szCs w:val="18"/>
                <w:u w:val="none"/>
                <w:lang w:val="en-US" w:eastAsia="zh-CN"/>
              </w:rPr>
              <w:t>10</w:t>
            </w:r>
          </w:p>
        </w:tc>
      </w:tr>
      <w:tr w14:paraId="7BBA36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41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9AF220">
            <w:pPr>
              <w:jc w:val="center"/>
              <w:rPr>
                <w:rFonts w:hint="eastAsia" w:ascii="Times New Roman" w:hAnsi="Times New Roman" w:eastAsia="仿宋_GB2312" w:cs="仿宋_GB2312"/>
                <w:b/>
                <w:bCs/>
                <w:i w:val="0"/>
                <w:iCs w:val="0"/>
                <w:color w:val="000000"/>
                <w:sz w:val="18"/>
                <w:szCs w:val="18"/>
                <w:u w:val="none"/>
              </w:rPr>
            </w:pPr>
          </w:p>
        </w:tc>
        <w:tc>
          <w:tcPr>
            <w:tcW w:w="67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DA3399">
            <w:pPr>
              <w:keepNext w:val="0"/>
              <w:keepLines w:val="0"/>
              <w:widowControl/>
              <w:suppressLineNumbers w:val="0"/>
              <w:jc w:val="center"/>
              <w:textAlignment w:val="center"/>
              <w:rPr>
                <w:rFonts w:hint="eastAsia" w:ascii="Times New Roman" w:hAnsi="Times New Roman" w:eastAsia="仿宋_GB2312" w:cs="仿宋_GB2312"/>
                <w:b/>
                <w:bCs/>
                <w:i w:val="0"/>
                <w:iCs w:val="0"/>
                <w:color w:val="000000"/>
                <w:sz w:val="18"/>
                <w:szCs w:val="18"/>
                <w:u w:val="none"/>
              </w:rPr>
            </w:pPr>
            <w:r>
              <w:rPr>
                <w:rFonts w:hint="eastAsia" w:ascii="Times New Roman" w:hAnsi="Times New Roman" w:eastAsia="仿宋_GB2312" w:cs="仿宋_GB2312"/>
                <w:b/>
                <w:bCs/>
                <w:i w:val="0"/>
                <w:iCs w:val="0"/>
                <w:color w:val="000000"/>
                <w:kern w:val="0"/>
                <w:sz w:val="18"/>
                <w:szCs w:val="18"/>
                <w:u w:val="none"/>
                <w:lang w:val="en-US" w:eastAsia="zh-CN" w:bidi="ar"/>
              </w:rPr>
              <w:t>其中：当年财政拨款</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95A03F">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4300.00</w:t>
            </w:r>
          </w:p>
        </w:tc>
        <w:tc>
          <w:tcPr>
            <w:tcW w:w="6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8B5D97">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4300.00</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58E2A7">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4044.25</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4B7A10">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w:t>
            </w:r>
          </w:p>
        </w:tc>
        <w:tc>
          <w:tcPr>
            <w:tcW w:w="75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2AFE31">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w:t>
            </w:r>
          </w:p>
        </w:tc>
        <w:tc>
          <w:tcPr>
            <w:tcW w:w="8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3A088B">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w:t>
            </w:r>
          </w:p>
        </w:tc>
      </w:tr>
      <w:tr w14:paraId="22488E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41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B8F0DE">
            <w:pPr>
              <w:jc w:val="center"/>
              <w:rPr>
                <w:rFonts w:hint="eastAsia" w:ascii="Times New Roman" w:hAnsi="Times New Roman" w:eastAsia="仿宋_GB2312" w:cs="仿宋_GB2312"/>
                <w:b/>
                <w:bCs/>
                <w:i w:val="0"/>
                <w:iCs w:val="0"/>
                <w:color w:val="000000"/>
                <w:sz w:val="18"/>
                <w:szCs w:val="18"/>
                <w:u w:val="none"/>
              </w:rPr>
            </w:pPr>
          </w:p>
        </w:tc>
        <w:tc>
          <w:tcPr>
            <w:tcW w:w="67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D4F996">
            <w:pPr>
              <w:keepNext w:val="0"/>
              <w:keepLines w:val="0"/>
              <w:widowControl/>
              <w:suppressLineNumbers w:val="0"/>
              <w:jc w:val="center"/>
              <w:textAlignment w:val="center"/>
              <w:rPr>
                <w:rFonts w:hint="eastAsia" w:ascii="Times New Roman" w:hAnsi="Times New Roman" w:eastAsia="仿宋_GB2312" w:cs="仿宋_GB2312"/>
                <w:b/>
                <w:bCs/>
                <w:i w:val="0"/>
                <w:iCs w:val="0"/>
                <w:color w:val="000000"/>
                <w:sz w:val="18"/>
                <w:szCs w:val="18"/>
                <w:u w:val="none"/>
              </w:rPr>
            </w:pPr>
            <w:r>
              <w:rPr>
                <w:rFonts w:hint="eastAsia" w:ascii="Times New Roman" w:hAnsi="Times New Roman" w:eastAsia="仿宋_GB2312" w:cs="仿宋_GB2312"/>
                <w:b/>
                <w:bCs/>
                <w:i w:val="0"/>
                <w:iCs w:val="0"/>
                <w:color w:val="000000"/>
                <w:kern w:val="0"/>
                <w:sz w:val="18"/>
                <w:szCs w:val="18"/>
                <w:u w:val="none"/>
                <w:lang w:val="en-US" w:eastAsia="zh-CN" w:bidi="ar"/>
              </w:rPr>
              <w:t xml:space="preserve">  其他资金</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B7B736">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0.00</w:t>
            </w:r>
          </w:p>
        </w:tc>
        <w:tc>
          <w:tcPr>
            <w:tcW w:w="6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61D854">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0.00</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4D6945">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0.00</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528A3D">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w:t>
            </w:r>
          </w:p>
        </w:tc>
        <w:tc>
          <w:tcPr>
            <w:tcW w:w="75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EA9910">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w:t>
            </w:r>
          </w:p>
        </w:tc>
        <w:tc>
          <w:tcPr>
            <w:tcW w:w="8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DD2E10">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w:t>
            </w:r>
          </w:p>
        </w:tc>
      </w:tr>
      <w:tr w14:paraId="7FAEA5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2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6D18307">
            <w:pPr>
              <w:keepNext w:val="0"/>
              <w:keepLines w:val="0"/>
              <w:widowControl/>
              <w:suppressLineNumbers w:val="0"/>
              <w:jc w:val="center"/>
              <w:textAlignment w:val="center"/>
              <w:rPr>
                <w:rFonts w:hint="eastAsia" w:ascii="Times New Roman" w:hAnsi="Times New Roman" w:eastAsia="仿宋_GB2312" w:cs="仿宋_GB2312"/>
                <w:b/>
                <w:bCs/>
                <w:i w:val="0"/>
                <w:iCs w:val="0"/>
                <w:color w:val="000000"/>
                <w:sz w:val="18"/>
                <w:szCs w:val="18"/>
                <w:u w:val="none"/>
              </w:rPr>
            </w:pPr>
            <w:r>
              <w:rPr>
                <w:rFonts w:hint="eastAsia" w:ascii="Times New Roman" w:hAnsi="Times New Roman" w:eastAsia="仿宋_GB2312" w:cs="仿宋_GB2312"/>
                <w:b/>
                <w:bCs/>
                <w:i w:val="0"/>
                <w:iCs w:val="0"/>
                <w:color w:val="000000"/>
                <w:kern w:val="0"/>
                <w:sz w:val="18"/>
                <w:szCs w:val="18"/>
                <w:u w:val="none"/>
                <w:lang w:val="en-US" w:eastAsia="zh-CN" w:bidi="ar"/>
              </w:rPr>
              <w:t>年度总体目标</w:t>
            </w:r>
          </w:p>
        </w:tc>
        <w:tc>
          <w:tcPr>
            <w:tcW w:w="1881"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6B3F7A05">
            <w:pPr>
              <w:keepNext w:val="0"/>
              <w:keepLines w:val="0"/>
              <w:widowControl/>
              <w:suppressLineNumbers w:val="0"/>
              <w:jc w:val="center"/>
              <w:textAlignment w:val="center"/>
              <w:rPr>
                <w:rFonts w:hint="eastAsia" w:ascii="Times New Roman" w:hAnsi="Times New Roman" w:eastAsia="仿宋_GB2312" w:cs="仿宋_GB2312"/>
                <w:b/>
                <w:bCs/>
                <w:i w:val="0"/>
                <w:iCs w:val="0"/>
                <w:color w:val="000000"/>
                <w:sz w:val="18"/>
                <w:szCs w:val="18"/>
                <w:u w:val="none"/>
              </w:rPr>
            </w:pPr>
            <w:r>
              <w:rPr>
                <w:rFonts w:hint="eastAsia" w:ascii="Times New Roman" w:hAnsi="Times New Roman" w:eastAsia="仿宋_GB2312" w:cs="仿宋_GB2312"/>
                <w:b/>
                <w:bCs/>
                <w:i w:val="0"/>
                <w:iCs w:val="0"/>
                <w:color w:val="000000"/>
                <w:kern w:val="0"/>
                <w:sz w:val="18"/>
                <w:szCs w:val="18"/>
                <w:u w:val="none"/>
                <w:lang w:val="en-US" w:eastAsia="zh-CN" w:bidi="ar"/>
              </w:rPr>
              <w:t>预期目标</w:t>
            </w:r>
          </w:p>
        </w:tc>
        <w:tc>
          <w:tcPr>
            <w:tcW w:w="2909"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03FAD7E4">
            <w:pPr>
              <w:keepNext w:val="0"/>
              <w:keepLines w:val="0"/>
              <w:widowControl/>
              <w:suppressLineNumbers w:val="0"/>
              <w:jc w:val="center"/>
              <w:textAlignment w:val="center"/>
              <w:rPr>
                <w:rFonts w:hint="eastAsia" w:ascii="Times New Roman" w:hAnsi="Times New Roman" w:eastAsia="仿宋_GB2312" w:cs="仿宋_GB2312"/>
                <w:b/>
                <w:bCs/>
                <w:i w:val="0"/>
                <w:iCs w:val="0"/>
                <w:color w:val="000000"/>
                <w:sz w:val="18"/>
                <w:szCs w:val="18"/>
                <w:u w:val="none"/>
              </w:rPr>
            </w:pPr>
            <w:r>
              <w:rPr>
                <w:rFonts w:hint="eastAsia" w:ascii="Times New Roman" w:hAnsi="Times New Roman" w:eastAsia="仿宋_GB2312" w:cs="仿宋_GB2312"/>
                <w:b/>
                <w:bCs/>
                <w:i w:val="0"/>
                <w:iCs w:val="0"/>
                <w:color w:val="000000"/>
                <w:kern w:val="0"/>
                <w:sz w:val="18"/>
                <w:szCs w:val="18"/>
                <w:u w:val="none"/>
                <w:lang w:val="en-US" w:eastAsia="zh-CN" w:bidi="ar"/>
              </w:rPr>
              <w:t>实际完成情况</w:t>
            </w:r>
          </w:p>
        </w:tc>
      </w:tr>
      <w:tr w14:paraId="0CDB4D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1707EB">
            <w:pPr>
              <w:jc w:val="center"/>
              <w:rPr>
                <w:rFonts w:hint="eastAsia" w:ascii="Times New Roman" w:hAnsi="Times New Roman" w:eastAsia="仿宋_GB2312" w:cs="仿宋_GB2312"/>
                <w:b/>
                <w:bCs/>
                <w:i w:val="0"/>
                <w:iCs w:val="0"/>
                <w:color w:val="000000"/>
                <w:sz w:val="18"/>
                <w:szCs w:val="18"/>
                <w:u w:val="none"/>
              </w:rPr>
            </w:pPr>
          </w:p>
        </w:tc>
        <w:tc>
          <w:tcPr>
            <w:tcW w:w="1881"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00725E7">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按照自治区党委</w:t>
            </w:r>
            <w:r>
              <w:rPr>
                <w:rFonts w:hint="eastAsia" w:eastAsia="仿宋_GB2312" w:cs="仿宋_GB2312"/>
                <w:i w:val="0"/>
                <w:iCs w:val="0"/>
                <w:color w:val="000000"/>
                <w:kern w:val="0"/>
                <w:sz w:val="18"/>
                <w:szCs w:val="18"/>
                <w:u w:val="none"/>
                <w:lang w:val="en-US" w:eastAsia="zh-CN" w:bidi="ar"/>
              </w:rPr>
              <w:t>、</w:t>
            </w:r>
            <w:r>
              <w:rPr>
                <w:rFonts w:hint="eastAsia" w:ascii="Times New Roman" w:hAnsi="Times New Roman" w:eastAsia="仿宋_GB2312" w:cs="仿宋_GB2312"/>
                <w:i w:val="0"/>
                <w:iCs w:val="0"/>
                <w:color w:val="000000"/>
                <w:kern w:val="0"/>
                <w:sz w:val="18"/>
                <w:szCs w:val="18"/>
                <w:u w:val="none"/>
                <w:lang w:val="en-US" w:eastAsia="zh-CN" w:bidi="ar"/>
              </w:rPr>
              <w:t>政府对应急管理工作的工作部署要求，加强应急管理、安全生产、防灾减灾宣传、教育、法规标准等工作，持续开展重大公共安全事故隐患排查治理，加大重点行业领域安全监管，增强应急管理综合监管执法效能；有效保障安全生产综合基地正常运转；开展综合应急演练，提升安全生产、自然灾害应急救援能力；持续推进应急指挥信息化建设，持续推进自治区应急管理体系和能力现代化建设，保障自治区安全生产形势持续稳定。</w:t>
            </w:r>
            <w:r>
              <w:rPr>
                <w:rFonts w:hint="eastAsia" w:ascii="Times New Roman" w:hAnsi="Times New Roman" w:eastAsia="仿宋_GB2312" w:cs="仿宋_GB2312"/>
                <w:i w:val="0"/>
                <w:iCs w:val="0"/>
                <w:color w:val="000000"/>
                <w:kern w:val="0"/>
                <w:sz w:val="18"/>
                <w:szCs w:val="18"/>
                <w:u w:val="none"/>
                <w:lang w:val="en-US" w:eastAsia="zh-CN" w:bidi="ar"/>
              </w:rPr>
              <w:br w:type="textWrapping"/>
            </w:r>
            <w:r>
              <w:rPr>
                <w:rFonts w:hint="eastAsia" w:ascii="Times New Roman" w:hAnsi="Times New Roman" w:eastAsia="仿宋_GB2312" w:cs="仿宋_GB2312"/>
                <w:i w:val="0"/>
                <w:iCs w:val="0"/>
                <w:color w:val="000000"/>
                <w:kern w:val="0"/>
                <w:sz w:val="18"/>
                <w:szCs w:val="18"/>
                <w:u w:val="none"/>
                <w:lang w:val="en-US" w:eastAsia="zh-CN" w:bidi="ar"/>
              </w:rPr>
              <w:t>目标1：“两委三部”重点会议次数6次，保障“两委三部”运行。</w:t>
            </w:r>
            <w:r>
              <w:rPr>
                <w:rFonts w:hint="eastAsia" w:ascii="Times New Roman" w:hAnsi="Times New Roman" w:eastAsia="仿宋_GB2312" w:cs="仿宋_GB2312"/>
                <w:i w:val="0"/>
                <w:iCs w:val="0"/>
                <w:color w:val="000000"/>
                <w:kern w:val="0"/>
                <w:sz w:val="18"/>
                <w:szCs w:val="18"/>
                <w:u w:val="none"/>
                <w:lang w:val="en-US" w:eastAsia="zh-CN" w:bidi="ar"/>
              </w:rPr>
              <w:br w:type="textWrapping"/>
            </w:r>
            <w:r>
              <w:rPr>
                <w:rFonts w:hint="eastAsia" w:ascii="Times New Roman" w:hAnsi="Times New Roman" w:eastAsia="仿宋_GB2312" w:cs="仿宋_GB2312"/>
                <w:i w:val="0"/>
                <w:iCs w:val="0"/>
                <w:color w:val="000000"/>
                <w:kern w:val="0"/>
                <w:sz w:val="18"/>
                <w:szCs w:val="18"/>
                <w:u w:val="none"/>
                <w:lang w:val="en-US" w:eastAsia="zh-CN" w:bidi="ar"/>
              </w:rPr>
              <w:t>目标2：应急管理相关执法检查和指导服务计划覆盖96个县市区，排查安全生产隐患，进一步提升我区安全生产水平。</w:t>
            </w:r>
            <w:r>
              <w:rPr>
                <w:rFonts w:hint="eastAsia" w:ascii="Times New Roman" w:hAnsi="Times New Roman" w:eastAsia="仿宋_GB2312" w:cs="仿宋_GB2312"/>
                <w:i w:val="0"/>
                <w:iCs w:val="0"/>
                <w:color w:val="000000"/>
                <w:kern w:val="0"/>
                <w:sz w:val="18"/>
                <w:szCs w:val="18"/>
                <w:u w:val="none"/>
                <w:lang w:val="en-US" w:eastAsia="zh-CN" w:bidi="ar"/>
              </w:rPr>
              <w:br w:type="textWrapping"/>
            </w:r>
            <w:r>
              <w:rPr>
                <w:rFonts w:hint="eastAsia" w:ascii="Times New Roman" w:hAnsi="Times New Roman" w:eastAsia="仿宋_GB2312" w:cs="仿宋_GB2312"/>
                <w:i w:val="0"/>
                <w:iCs w:val="0"/>
                <w:color w:val="000000"/>
                <w:kern w:val="0"/>
                <w:sz w:val="18"/>
                <w:szCs w:val="18"/>
                <w:u w:val="none"/>
                <w:lang w:val="en-US" w:eastAsia="zh-CN" w:bidi="ar"/>
              </w:rPr>
              <w:t>目标3：计划完成安全生产综合基地运行维护场所1处，有效保障安全生产综合基地正常运转。</w:t>
            </w:r>
            <w:r>
              <w:rPr>
                <w:rFonts w:hint="eastAsia" w:ascii="Times New Roman" w:hAnsi="Times New Roman" w:eastAsia="仿宋_GB2312" w:cs="仿宋_GB2312"/>
                <w:i w:val="0"/>
                <w:iCs w:val="0"/>
                <w:color w:val="000000"/>
                <w:kern w:val="0"/>
                <w:sz w:val="18"/>
                <w:szCs w:val="18"/>
                <w:u w:val="none"/>
                <w:lang w:val="en-US" w:eastAsia="zh-CN" w:bidi="ar"/>
              </w:rPr>
              <w:br w:type="textWrapping"/>
            </w:r>
            <w:r>
              <w:rPr>
                <w:rFonts w:hint="eastAsia" w:ascii="Times New Roman" w:hAnsi="Times New Roman" w:eastAsia="仿宋_GB2312" w:cs="仿宋_GB2312"/>
                <w:i w:val="0"/>
                <w:iCs w:val="0"/>
                <w:color w:val="000000"/>
                <w:kern w:val="0"/>
                <w:sz w:val="18"/>
                <w:szCs w:val="18"/>
                <w:u w:val="none"/>
                <w:lang w:val="en-US" w:eastAsia="zh-CN" w:bidi="ar"/>
              </w:rPr>
              <w:t>目标4：开展应急管理综合保障工作，计划完成应急管理“十四五”规划实施进展监测评估3项，举办应急管理、安全生产、防灾减灾救灾宣传活动大于等于4场，全年开展各项培训次数大于等于8次，加强应急管理、安全生产、防灾减灾宣传、教育、法规标准等工作。</w:t>
            </w:r>
            <w:r>
              <w:rPr>
                <w:rFonts w:hint="eastAsia" w:ascii="Times New Roman" w:hAnsi="Times New Roman" w:eastAsia="仿宋_GB2312" w:cs="仿宋_GB2312"/>
                <w:i w:val="0"/>
                <w:iCs w:val="0"/>
                <w:color w:val="000000"/>
                <w:kern w:val="0"/>
                <w:sz w:val="18"/>
                <w:szCs w:val="18"/>
                <w:u w:val="none"/>
                <w:lang w:val="en-US" w:eastAsia="zh-CN" w:bidi="ar"/>
              </w:rPr>
              <w:br w:type="textWrapping"/>
            </w:r>
            <w:r>
              <w:rPr>
                <w:rFonts w:hint="eastAsia" w:ascii="Times New Roman" w:hAnsi="Times New Roman" w:eastAsia="仿宋_GB2312" w:cs="仿宋_GB2312"/>
                <w:i w:val="0"/>
                <w:iCs w:val="0"/>
                <w:color w:val="000000"/>
                <w:kern w:val="0"/>
                <w:sz w:val="18"/>
                <w:szCs w:val="18"/>
                <w:u w:val="none"/>
                <w:lang w:val="en-US" w:eastAsia="zh-CN" w:bidi="ar"/>
              </w:rPr>
              <w:t>目标5：保障应急管理信息系统运行维护数量大于等于7套，持续推进应急指挥信息化建设，持续推进自治区应急管理体系和能力现代化建设。</w:t>
            </w:r>
            <w:r>
              <w:rPr>
                <w:rFonts w:hint="eastAsia" w:ascii="Times New Roman" w:hAnsi="Times New Roman" w:eastAsia="仿宋_GB2312" w:cs="仿宋_GB2312"/>
                <w:i w:val="0"/>
                <w:iCs w:val="0"/>
                <w:color w:val="000000"/>
                <w:kern w:val="0"/>
                <w:sz w:val="18"/>
                <w:szCs w:val="18"/>
                <w:u w:val="none"/>
                <w:lang w:val="en-US" w:eastAsia="zh-CN" w:bidi="ar"/>
              </w:rPr>
              <w:br w:type="textWrapping"/>
            </w:r>
            <w:r>
              <w:rPr>
                <w:rFonts w:hint="eastAsia" w:ascii="Times New Roman" w:hAnsi="Times New Roman" w:eastAsia="仿宋_GB2312" w:cs="仿宋_GB2312"/>
                <w:i w:val="0"/>
                <w:iCs w:val="0"/>
                <w:color w:val="000000"/>
                <w:kern w:val="0"/>
                <w:sz w:val="18"/>
                <w:szCs w:val="18"/>
                <w:u w:val="none"/>
                <w:lang w:val="en-US" w:eastAsia="zh-CN" w:bidi="ar"/>
              </w:rPr>
              <w:t>目标6：采购应急救援装备大于等于2批次，提升应急救援能力。</w:t>
            </w:r>
          </w:p>
        </w:tc>
        <w:tc>
          <w:tcPr>
            <w:tcW w:w="2909"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427E95A0">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2024年实际召开了6次“两委三部”重点会议，应急管理执法检查覆盖了96个县市区，完成了对安全生产综合基地的运行维护，对应急管理“十四五”规划实施进展开展了3项监测评估，举办了5场应急管理、安全生产、防灾减灾救灾宣传活动，全年开展了10次各项培训，有效保障了7套应急管理信息系统的运行维护，采购了2批次应急救援装备。通过项目的实施，加大了对重点行业领域的安全监管，提升了应急救援能力，并持续推进自治区应急管理体系和能力现代化建设，保障自治区安全生产形势持续稳定。</w:t>
            </w:r>
          </w:p>
        </w:tc>
      </w:tr>
      <w:tr w14:paraId="22B9F5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4A7FAB9">
            <w:pPr>
              <w:jc w:val="center"/>
              <w:rPr>
                <w:rFonts w:hint="eastAsia" w:ascii="Times New Roman" w:hAnsi="Times New Roman" w:eastAsia="仿宋_GB2312" w:cs="仿宋_GB2312"/>
                <w:i w:val="0"/>
                <w:iCs w:val="0"/>
                <w:color w:val="000000"/>
                <w:sz w:val="18"/>
                <w:szCs w:val="18"/>
                <w:u w:val="none"/>
              </w:rPr>
            </w:pPr>
          </w:p>
        </w:tc>
        <w:tc>
          <w:tcPr>
            <w:tcW w:w="2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6E62E17">
            <w:pPr>
              <w:keepNext w:val="0"/>
              <w:keepLines w:val="0"/>
              <w:widowControl/>
              <w:suppressLineNumbers w:val="0"/>
              <w:jc w:val="center"/>
              <w:textAlignment w:val="center"/>
              <w:rPr>
                <w:rFonts w:hint="eastAsia" w:ascii="Times New Roman" w:hAnsi="Times New Roman" w:eastAsia="仿宋_GB2312" w:cs="仿宋_GB2312"/>
                <w:b/>
                <w:bCs/>
                <w:i w:val="0"/>
                <w:iCs w:val="0"/>
                <w:color w:val="000000"/>
                <w:sz w:val="18"/>
                <w:szCs w:val="18"/>
                <w:u w:val="none"/>
              </w:rPr>
            </w:pPr>
            <w:r>
              <w:rPr>
                <w:rFonts w:hint="eastAsia" w:ascii="Times New Roman" w:hAnsi="Times New Roman" w:eastAsia="仿宋_GB2312" w:cs="仿宋_GB2312"/>
                <w:b/>
                <w:bCs/>
                <w:i w:val="0"/>
                <w:iCs w:val="0"/>
                <w:color w:val="000000"/>
                <w:kern w:val="0"/>
                <w:sz w:val="18"/>
                <w:szCs w:val="18"/>
                <w:u w:val="none"/>
                <w:lang w:val="en-US" w:eastAsia="zh-CN" w:bidi="ar"/>
              </w:rPr>
              <w:t>一级指标</w:t>
            </w:r>
          </w:p>
        </w:tc>
        <w:tc>
          <w:tcPr>
            <w:tcW w:w="2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891BF67">
            <w:pPr>
              <w:keepNext w:val="0"/>
              <w:keepLines w:val="0"/>
              <w:widowControl/>
              <w:suppressLineNumbers w:val="0"/>
              <w:jc w:val="center"/>
              <w:textAlignment w:val="center"/>
              <w:rPr>
                <w:rFonts w:hint="eastAsia" w:ascii="Times New Roman" w:hAnsi="Times New Roman" w:eastAsia="仿宋_GB2312" w:cs="仿宋_GB2312"/>
                <w:b/>
                <w:bCs/>
                <w:i w:val="0"/>
                <w:iCs w:val="0"/>
                <w:color w:val="000000"/>
                <w:sz w:val="18"/>
                <w:szCs w:val="18"/>
                <w:u w:val="none"/>
              </w:rPr>
            </w:pPr>
            <w:r>
              <w:rPr>
                <w:rFonts w:hint="eastAsia" w:ascii="Times New Roman" w:hAnsi="Times New Roman" w:eastAsia="仿宋_GB2312" w:cs="仿宋_GB2312"/>
                <w:b/>
                <w:bCs/>
                <w:i w:val="0"/>
                <w:iCs w:val="0"/>
                <w:color w:val="000000"/>
                <w:kern w:val="0"/>
                <w:sz w:val="18"/>
                <w:szCs w:val="18"/>
                <w:u w:val="none"/>
                <w:lang w:val="en-US" w:eastAsia="zh-CN" w:bidi="ar"/>
              </w:rPr>
              <w:t>二级指标</w:t>
            </w:r>
          </w:p>
        </w:tc>
        <w:tc>
          <w:tcPr>
            <w:tcW w:w="46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F3E04A7">
            <w:pPr>
              <w:keepNext w:val="0"/>
              <w:keepLines w:val="0"/>
              <w:widowControl/>
              <w:suppressLineNumbers w:val="0"/>
              <w:jc w:val="center"/>
              <w:textAlignment w:val="center"/>
              <w:rPr>
                <w:rFonts w:hint="eastAsia" w:ascii="Times New Roman" w:hAnsi="Times New Roman" w:eastAsia="仿宋_GB2312" w:cs="仿宋_GB2312"/>
                <w:b/>
                <w:bCs/>
                <w:i w:val="0"/>
                <w:iCs w:val="0"/>
                <w:color w:val="000000"/>
                <w:sz w:val="18"/>
                <w:szCs w:val="18"/>
                <w:u w:val="none"/>
              </w:rPr>
            </w:pPr>
            <w:r>
              <w:rPr>
                <w:rFonts w:hint="eastAsia" w:ascii="Times New Roman" w:hAnsi="Times New Roman" w:eastAsia="仿宋_GB2312" w:cs="仿宋_GB2312"/>
                <w:b/>
                <w:bCs/>
                <w:i w:val="0"/>
                <w:iCs w:val="0"/>
                <w:color w:val="000000"/>
                <w:kern w:val="0"/>
                <w:sz w:val="18"/>
                <w:szCs w:val="18"/>
                <w:u w:val="none"/>
                <w:lang w:val="en-US" w:eastAsia="zh-CN" w:bidi="ar"/>
              </w:rPr>
              <w:t>三级指标</w:t>
            </w:r>
          </w:p>
        </w:tc>
        <w:tc>
          <w:tcPr>
            <w:tcW w:w="3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284E368">
            <w:pPr>
              <w:keepNext w:val="0"/>
              <w:keepLines w:val="0"/>
              <w:widowControl/>
              <w:suppressLineNumbers w:val="0"/>
              <w:jc w:val="center"/>
              <w:textAlignment w:val="center"/>
              <w:rPr>
                <w:rFonts w:hint="eastAsia" w:ascii="Times New Roman" w:hAnsi="Times New Roman" w:eastAsia="仿宋_GB2312" w:cs="仿宋_GB2312"/>
                <w:b/>
                <w:bCs/>
                <w:i w:val="0"/>
                <w:iCs w:val="0"/>
                <w:color w:val="000000"/>
                <w:sz w:val="18"/>
                <w:szCs w:val="18"/>
                <w:u w:val="none"/>
              </w:rPr>
            </w:pPr>
            <w:r>
              <w:rPr>
                <w:rFonts w:hint="eastAsia" w:ascii="Times New Roman" w:hAnsi="Times New Roman" w:eastAsia="仿宋_GB2312" w:cs="仿宋_GB2312"/>
                <w:b/>
                <w:bCs/>
                <w:i w:val="0"/>
                <w:iCs w:val="0"/>
                <w:color w:val="000000"/>
                <w:kern w:val="0"/>
                <w:sz w:val="18"/>
                <w:szCs w:val="18"/>
                <w:u w:val="none"/>
                <w:lang w:val="en-US" w:eastAsia="zh-CN" w:bidi="ar"/>
              </w:rPr>
              <w:t>权重</w:t>
            </w:r>
          </w:p>
        </w:tc>
        <w:tc>
          <w:tcPr>
            <w:tcW w:w="3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C92754F">
            <w:pPr>
              <w:keepNext w:val="0"/>
              <w:keepLines w:val="0"/>
              <w:widowControl/>
              <w:suppressLineNumbers w:val="0"/>
              <w:jc w:val="center"/>
              <w:textAlignment w:val="center"/>
              <w:rPr>
                <w:rFonts w:hint="eastAsia" w:ascii="Times New Roman" w:hAnsi="Times New Roman" w:eastAsia="仿宋_GB2312" w:cs="仿宋_GB2312"/>
                <w:b/>
                <w:bCs/>
                <w:i w:val="0"/>
                <w:iCs w:val="0"/>
                <w:color w:val="000000"/>
                <w:sz w:val="18"/>
                <w:szCs w:val="18"/>
                <w:u w:val="none"/>
              </w:rPr>
            </w:pPr>
            <w:r>
              <w:rPr>
                <w:rFonts w:hint="eastAsia" w:ascii="Times New Roman" w:hAnsi="Times New Roman" w:eastAsia="仿宋_GB2312" w:cs="仿宋_GB2312"/>
                <w:b/>
                <w:bCs/>
                <w:i w:val="0"/>
                <w:iCs w:val="0"/>
                <w:color w:val="000000"/>
                <w:kern w:val="0"/>
                <w:sz w:val="18"/>
                <w:szCs w:val="18"/>
                <w:u w:val="none"/>
                <w:lang w:val="en-US" w:eastAsia="zh-CN" w:bidi="ar"/>
              </w:rPr>
              <w:t>目标值</w:t>
            </w:r>
          </w:p>
        </w:tc>
        <w:tc>
          <w:tcPr>
            <w:tcW w:w="33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5F91521">
            <w:pPr>
              <w:keepNext w:val="0"/>
              <w:keepLines w:val="0"/>
              <w:widowControl/>
              <w:suppressLineNumbers w:val="0"/>
              <w:jc w:val="center"/>
              <w:textAlignment w:val="center"/>
              <w:rPr>
                <w:rFonts w:hint="eastAsia" w:ascii="Times New Roman" w:hAnsi="Times New Roman" w:eastAsia="仿宋_GB2312" w:cs="仿宋_GB2312"/>
                <w:b/>
                <w:bCs/>
                <w:i w:val="0"/>
                <w:iCs w:val="0"/>
                <w:color w:val="000000"/>
                <w:sz w:val="18"/>
                <w:szCs w:val="18"/>
                <w:u w:val="none"/>
              </w:rPr>
            </w:pPr>
            <w:r>
              <w:rPr>
                <w:rFonts w:hint="eastAsia" w:ascii="Times New Roman" w:hAnsi="Times New Roman" w:eastAsia="仿宋_GB2312" w:cs="仿宋_GB2312"/>
                <w:b/>
                <w:bCs/>
                <w:i w:val="0"/>
                <w:iCs w:val="0"/>
                <w:color w:val="000000"/>
                <w:kern w:val="0"/>
                <w:sz w:val="18"/>
                <w:szCs w:val="18"/>
                <w:u w:val="none"/>
                <w:lang w:val="en-US" w:eastAsia="zh-CN" w:bidi="ar"/>
              </w:rPr>
              <w:t>业绩值</w:t>
            </w:r>
          </w:p>
        </w:tc>
        <w:tc>
          <w:tcPr>
            <w:tcW w:w="3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5C21B01">
            <w:pPr>
              <w:keepNext w:val="0"/>
              <w:keepLines w:val="0"/>
              <w:widowControl/>
              <w:suppressLineNumbers w:val="0"/>
              <w:jc w:val="center"/>
              <w:textAlignment w:val="center"/>
              <w:rPr>
                <w:rFonts w:hint="eastAsia" w:ascii="Times New Roman" w:hAnsi="Times New Roman" w:eastAsia="仿宋_GB2312" w:cs="仿宋_GB2312"/>
                <w:b/>
                <w:bCs/>
                <w:i w:val="0"/>
                <w:iCs w:val="0"/>
                <w:color w:val="000000"/>
                <w:sz w:val="18"/>
                <w:szCs w:val="18"/>
                <w:u w:val="none"/>
              </w:rPr>
            </w:pPr>
            <w:r>
              <w:rPr>
                <w:rFonts w:hint="eastAsia" w:ascii="Times New Roman" w:hAnsi="Times New Roman" w:eastAsia="仿宋_GB2312" w:cs="仿宋_GB2312"/>
                <w:b/>
                <w:bCs/>
                <w:i w:val="0"/>
                <w:iCs w:val="0"/>
                <w:color w:val="000000"/>
                <w:kern w:val="0"/>
                <w:sz w:val="18"/>
                <w:szCs w:val="18"/>
                <w:u w:val="none"/>
                <w:lang w:val="en-US" w:eastAsia="zh-CN" w:bidi="ar"/>
              </w:rPr>
              <w:t>完成率</w:t>
            </w:r>
          </w:p>
        </w:tc>
        <w:tc>
          <w:tcPr>
            <w:tcW w:w="3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F44D1A7">
            <w:pPr>
              <w:keepNext w:val="0"/>
              <w:keepLines w:val="0"/>
              <w:widowControl/>
              <w:suppressLineNumbers w:val="0"/>
              <w:jc w:val="center"/>
              <w:textAlignment w:val="center"/>
              <w:rPr>
                <w:rFonts w:hint="eastAsia" w:ascii="Times New Roman" w:hAnsi="Times New Roman" w:eastAsia="仿宋_GB2312" w:cs="仿宋_GB2312"/>
                <w:b/>
                <w:bCs/>
                <w:i w:val="0"/>
                <w:iCs w:val="0"/>
                <w:color w:val="000000"/>
                <w:sz w:val="18"/>
                <w:szCs w:val="18"/>
                <w:u w:val="none"/>
              </w:rPr>
            </w:pPr>
            <w:r>
              <w:rPr>
                <w:rFonts w:hint="eastAsia" w:ascii="Times New Roman" w:hAnsi="Times New Roman" w:eastAsia="仿宋_GB2312" w:cs="仿宋_GB2312"/>
                <w:b/>
                <w:bCs/>
                <w:i w:val="0"/>
                <w:iCs w:val="0"/>
                <w:color w:val="000000"/>
                <w:kern w:val="0"/>
                <w:sz w:val="18"/>
                <w:szCs w:val="18"/>
                <w:u w:val="none"/>
                <w:lang w:val="en-US" w:eastAsia="zh-CN" w:bidi="ar"/>
              </w:rPr>
              <w:t>指标得分</w:t>
            </w:r>
          </w:p>
        </w:tc>
        <w:tc>
          <w:tcPr>
            <w:tcW w:w="3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DD9017A">
            <w:pPr>
              <w:keepNext w:val="0"/>
              <w:keepLines w:val="0"/>
              <w:widowControl/>
              <w:suppressLineNumbers w:val="0"/>
              <w:jc w:val="center"/>
              <w:textAlignment w:val="center"/>
              <w:rPr>
                <w:rFonts w:hint="eastAsia" w:ascii="Times New Roman" w:hAnsi="Times New Roman" w:eastAsia="仿宋_GB2312" w:cs="仿宋_GB2312"/>
                <w:b/>
                <w:bCs/>
                <w:i w:val="0"/>
                <w:iCs w:val="0"/>
                <w:color w:val="000000"/>
                <w:sz w:val="18"/>
                <w:szCs w:val="18"/>
                <w:u w:val="none"/>
              </w:rPr>
            </w:pPr>
            <w:r>
              <w:rPr>
                <w:rFonts w:hint="eastAsia" w:ascii="Times New Roman" w:hAnsi="Times New Roman" w:eastAsia="仿宋_GB2312" w:cs="仿宋_GB2312"/>
                <w:b/>
                <w:bCs/>
                <w:i w:val="0"/>
                <w:iCs w:val="0"/>
                <w:color w:val="000000"/>
                <w:kern w:val="0"/>
                <w:sz w:val="18"/>
                <w:szCs w:val="18"/>
                <w:u w:val="none"/>
                <w:lang w:val="en-US" w:eastAsia="zh-CN" w:bidi="ar"/>
              </w:rPr>
              <w:t>指标值设定依据</w:t>
            </w:r>
          </w:p>
        </w:tc>
        <w:tc>
          <w:tcPr>
            <w:tcW w:w="3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4B1E406">
            <w:pPr>
              <w:keepNext w:val="0"/>
              <w:keepLines w:val="0"/>
              <w:widowControl/>
              <w:suppressLineNumbers w:val="0"/>
              <w:jc w:val="center"/>
              <w:textAlignment w:val="center"/>
              <w:rPr>
                <w:rFonts w:hint="eastAsia" w:ascii="Times New Roman" w:hAnsi="Times New Roman" w:eastAsia="仿宋_GB2312" w:cs="仿宋_GB2312"/>
                <w:b/>
                <w:bCs/>
                <w:i w:val="0"/>
                <w:iCs w:val="0"/>
                <w:color w:val="000000"/>
                <w:sz w:val="18"/>
                <w:szCs w:val="18"/>
                <w:u w:val="none"/>
              </w:rPr>
            </w:pPr>
            <w:r>
              <w:rPr>
                <w:rFonts w:hint="eastAsia" w:ascii="Times New Roman" w:hAnsi="Times New Roman" w:eastAsia="仿宋_GB2312" w:cs="仿宋_GB2312"/>
                <w:b/>
                <w:bCs/>
                <w:i w:val="0"/>
                <w:iCs w:val="0"/>
                <w:color w:val="000000"/>
                <w:kern w:val="0"/>
                <w:sz w:val="18"/>
                <w:szCs w:val="18"/>
                <w:u w:val="none"/>
                <w:lang w:val="en-US" w:eastAsia="zh-CN" w:bidi="ar"/>
              </w:rPr>
              <w:t>上年完成情况</w:t>
            </w:r>
          </w:p>
        </w:tc>
        <w:tc>
          <w:tcPr>
            <w:tcW w:w="39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F599E5B">
            <w:pPr>
              <w:keepNext w:val="0"/>
              <w:keepLines w:val="0"/>
              <w:widowControl/>
              <w:suppressLineNumbers w:val="0"/>
              <w:jc w:val="center"/>
              <w:textAlignment w:val="center"/>
              <w:rPr>
                <w:rFonts w:hint="eastAsia" w:ascii="Times New Roman" w:hAnsi="Times New Roman" w:eastAsia="仿宋_GB2312" w:cs="仿宋_GB2312"/>
                <w:b/>
                <w:bCs/>
                <w:i w:val="0"/>
                <w:iCs w:val="0"/>
                <w:color w:val="000000"/>
                <w:sz w:val="18"/>
                <w:szCs w:val="18"/>
                <w:u w:val="none"/>
              </w:rPr>
            </w:pPr>
            <w:r>
              <w:rPr>
                <w:rFonts w:hint="eastAsia" w:ascii="Times New Roman" w:hAnsi="Times New Roman" w:eastAsia="仿宋_GB2312" w:cs="仿宋_GB2312"/>
                <w:b/>
                <w:bCs/>
                <w:i w:val="0"/>
                <w:iCs w:val="0"/>
                <w:color w:val="000000"/>
                <w:kern w:val="0"/>
                <w:sz w:val="18"/>
                <w:szCs w:val="18"/>
                <w:u w:val="none"/>
                <w:lang w:val="en-US" w:eastAsia="zh-CN" w:bidi="ar"/>
              </w:rPr>
              <w:t>赋分规则</w:t>
            </w:r>
          </w:p>
        </w:tc>
        <w:tc>
          <w:tcPr>
            <w:tcW w:w="35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8ECCEA5">
            <w:pPr>
              <w:keepNext w:val="0"/>
              <w:keepLines w:val="0"/>
              <w:widowControl/>
              <w:suppressLineNumbers w:val="0"/>
              <w:jc w:val="center"/>
              <w:textAlignment w:val="center"/>
              <w:rPr>
                <w:rFonts w:hint="eastAsia" w:ascii="Times New Roman" w:hAnsi="Times New Roman" w:eastAsia="仿宋_GB2312" w:cs="仿宋_GB2312"/>
                <w:b/>
                <w:bCs/>
                <w:i w:val="0"/>
                <w:iCs w:val="0"/>
                <w:color w:val="000000"/>
                <w:sz w:val="18"/>
                <w:szCs w:val="18"/>
                <w:u w:val="none"/>
              </w:rPr>
            </w:pPr>
            <w:r>
              <w:rPr>
                <w:rFonts w:hint="eastAsia" w:ascii="Times New Roman" w:hAnsi="Times New Roman" w:eastAsia="仿宋_GB2312" w:cs="仿宋_GB2312"/>
                <w:b/>
                <w:bCs/>
                <w:i w:val="0"/>
                <w:iCs w:val="0"/>
                <w:color w:val="000000"/>
                <w:kern w:val="0"/>
                <w:sz w:val="18"/>
                <w:szCs w:val="18"/>
                <w:u w:val="none"/>
                <w:lang w:val="en-US" w:eastAsia="zh-CN" w:bidi="ar"/>
              </w:rPr>
              <w:t>佐证资料</w:t>
            </w:r>
          </w:p>
        </w:tc>
        <w:tc>
          <w:tcPr>
            <w:tcW w:w="82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FC9AA01">
            <w:pPr>
              <w:keepNext w:val="0"/>
              <w:keepLines w:val="0"/>
              <w:widowControl/>
              <w:suppressLineNumbers w:val="0"/>
              <w:jc w:val="center"/>
              <w:textAlignment w:val="center"/>
              <w:rPr>
                <w:rFonts w:hint="eastAsia" w:ascii="Times New Roman" w:hAnsi="Times New Roman" w:eastAsia="仿宋_GB2312" w:cs="仿宋_GB2312"/>
                <w:b/>
                <w:bCs/>
                <w:i w:val="0"/>
                <w:iCs w:val="0"/>
                <w:color w:val="000000"/>
                <w:sz w:val="18"/>
                <w:szCs w:val="18"/>
                <w:u w:val="none"/>
              </w:rPr>
            </w:pPr>
            <w:r>
              <w:rPr>
                <w:rFonts w:hint="eastAsia" w:ascii="Times New Roman" w:hAnsi="Times New Roman" w:eastAsia="仿宋_GB2312" w:cs="仿宋_GB2312"/>
                <w:b/>
                <w:bCs/>
                <w:i w:val="0"/>
                <w:iCs w:val="0"/>
                <w:color w:val="000000"/>
                <w:kern w:val="0"/>
                <w:sz w:val="18"/>
                <w:szCs w:val="18"/>
                <w:u w:val="none"/>
                <w:lang w:val="en-US" w:eastAsia="zh-CN" w:bidi="ar"/>
              </w:rPr>
              <w:t>偏差原因分析及改进措施</w:t>
            </w:r>
          </w:p>
        </w:tc>
      </w:tr>
      <w:tr w14:paraId="5D5ADA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69D545">
            <w:pPr>
              <w:jc w:val="center"/>
              <w:rPr>
                <w:rFonts w:hint="eastAsia" w:ascii="Times New Roman" w:hAnsi="Times New Roman" w:eastAsia="仿宋_GB2312" w:cs="仿宋_GB2312"/>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0384BB">
            <w:pPr>
              <w:jc w:val="center"/>
              <w:rPr>
                <w:rFonts w:hint="eastAsia" w:ascii="Times New Roman" w:hAnsi="Times New Roman" w:eastAsia="仿宋_GB2312" w:cs="仿宋_GB2312"/>
                <w:b/>
                <w:bCs/>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3C1EB8">
            <w:pPr>
              <w:jc w:val="center"/>
              <w:rPr>
                <w:rFonts w:hint="eastAsia" w:ascii="Times New Roman" w:hAnsi="Times New Roman" w:eastAsia="仿宋_GB2312" w:cs="仿宋_GB2312"/>
                <w:b/>
                <w:bCs/>
                <w:i w:val="0"/>
                <w:iCs w:val="0"/>
                <w:color w:val="000000"/>
                <w:sz w:val="18"/>
                <w:szCs w:val="18"/>
                <w:u w:val="none"/>
              </w:rPr>
            </w:pPr>
          </w:p>
        </w:tc>
        <w:tc>
          <w:tcPr>
            <w:tcW w:w="46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1F92B7">
            <w:pPr>
              <w:jc w:val="center"/>
              <w:rPr>
                <w:rFonts w:hint="eastAsia" w:ascii="Times New Roman" w:hAnsi="Times New Roman" w:eastAsia="仿宋_GB2312" w:cs="仿宋_GB2312"/>
                <w:b/>
                <w:bCs/>
                <w:i w:val="0"/>
                <w:iCs w:val="0"/>
                <w:color w:val="000000"/>
                <w:sz w:val="18"/>
                <w:szCs w:val="18"/>
                <w:u w:val="none"/>
              </w:rPr>
            </w:pPr>
          </w:p>
        </w:tc>
        <w:tc>
          <w:tcPr>
            <w:tcW w:w="3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B78EA0">
            <w:pPr>
              <w:jc w:val="center"/>
              <w:rPr>
                <w:rFonts w:hint="eastAsia" w:ascii="Times New Roman" w:hAnsi="Times New Roman" w:eastAsia="仿宋_GB2312" w:cs="仿宋_GB2312"/>
                <w:b/>
                <w:bCs/>
                <w:i w:val="0"/>
                <w:iCs w:val="0"/>
                <w:color w:val="000000"/>
                <w:sz w:val="18"/>
                <w:szCs w:val="18"/>
                <w:u w:val="none"/>
              </w:rPr>
            </w:pPr>
          </w:p>
        </w:tc>
        <w:tc>
          <w:tcPr>
            <w:tcW w:w="3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98B923">
            <w:pPr>
              <w:jc w:val="center"/>
              <w:rPr>
                <w:rFonts w:hint="eastAsia" w:ascii="Times New Roman" w:hAnsi="Times New Roman" w:eastAsia="仿宋_GB2312" w:cs="仿宋_GB2312"/>
                <w:b/>
                <w:bCs/>
                <w:i w:val="0"/>
                <w:iCs w:val="0"/>
                <w:color w:val="000000"/>
                <w:sz w:val="18"/>
                <w:szCs w:val="18"/>
                <w:u w:val="none"/>
              </w:rPr>
            </w:pPr>
          </w:p>
        </w:tc>
        <w:tc>
          <w:tcPr>
            <w:tcW w:w="33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FC847B">
            <w:pPr>
              <w:jc w:val="center"/>
              <w:rPr>
                <w:rFonts w:hint="eastAsia" w:ascii="Times New Roman" w:hAnsi="Times New Roman" w:eastAsia="仿宋_GB2312" w:cs="仿宋_GB2312"/>
                <w:b/>
                <w:bCs/>
                <w:i w:val="0"/>
                <w:iCs w:val="0"/>
                <w:color w:val="000000"/>
                <w:sz w:val="18"/>
                <w:szCs w:val="18"/>
                <w:u w:val="none"/>
              </w:rPr>
            </w:pPr>
          </w:p>
        </w:tc>
        <w:tc>
          <w:tcPr>
            <w:tcW w:w="3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95723E">
            <w:pPr>
              <w:jc w:val="center"/>
              <w:rPr>
                <w:rFonts w:hint="eastAsia" w:ascii="Times New Roman" w:hAnsi="Times New Roman" w:eastAsia="仿宋_GB2312" w:cs="仿宋_GB2312"/>
                <w:b/>
                <w:bCs/>
                <w:i w:val="0"/>
                <w:iCs w:val="0"/>
                <w:color w:val="000000"/>
                <w:sz w:val="18"/>
                <w:szCs w:val="18"/>
                <w:u w:val="none"/>
              </w:rPr>
            </w:pPr>
          </w:p>
        </w:tc>
        <w:tc>
          <w:tcPr>
            <w:tcW w:w="3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9E1721">
            <w:pPr>
              <w:jc w:val="center"/>
              <w:rPr>
                <w:rFonts w:hint="eastAsia" w:ascii="Times New Roman" w:hAnsi="Times New Roman" w:eastAsia="仿宋_GB2312" w:cs="仿宋_GB2312"/>
                <w:b/>
                <w:bCs/>
                <w:i w:val="0"/>
                <w:iCs w:val="0"/>
                <w:color w:val="000000"/>
                <w:sz w:val="18"/>
                <w:szCs w:val="18"/>
                <w:u w:val="none"/>
              </w:rPr>
            </w:pPr>
          </w:p>
        </w:tc>
        <w:tc>
          <w:tcPr>
            <w:tcW w:w="3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E1B60F">
            <w:pPr>
              <w:jc w:val="center"/>
              <w:rPr>
                <w:rFonts w:hint="eastAsia" w:ascii="Times New Roman" w:hAnsi="Times New Roman" w:eastAsia="仿宋_GB2312" w:cs="仿宋_GB2312"/>
                <w:b/>
                <w:bCs/>
                <w:i w:val="0"/>
                <w:iCs w:val="0"/>
                <w:color w:val="000000"/>
                <w:sz w:val="18"/>
                <w:szCs w:val="18"/>
                <w:u w:val="none"/>
              </w:rPr>
            </w:pPr>
          </w:p>
        </w:tc>
        <w:tc>
          <w:tcPr>
            <w:tcW w:w="3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638BFA">
            <w:pPr>
              <w:jc w:val="center"/>
              <w:rPr>
                <w:rFonts w:hint="eastAsia" w:ascii="Times New Roman" w:hAnsi="Times New Roman" w:eastAsia="仿宋_GB2312" w:cs="仿宋_GB2312"/>
                <w:b/>
                <w:bCs/>
                <w:i w:val="0"/>
                <w:iCs w:val="0"/>
                <w:color w:val="000000"/>
                <w:sz w:val="18"/>
                <w:szCs w:val="18"/>
                <w:u w:val="none"/>
              </w:rPr>
            </w:pPr>
          </w:p>
        </w:tc>
        <w:tc>
          <w:tcPr>
            <w:tcW w:w="39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116323">
            <w:pPr>
              <w:jc w:val="center"/>
              <w:rPr>
                <w:rFonts w:hint="eastAsia" w:ascii="Times New Roman" w:hAnsi="Times New Roman" w:eastAsia="仿宋_GB2312" w:cs="仿宋_GB2312"/>
                <w:b/>
                <w:bCs/>
                <w:i w:val="0"/>
                <w:iCs w:val="0"/>
                <w:color w:val="000000"/>
                <w:sz w:val="18"/>
                <w:szCs w:val="18"/>
                <w:u w:val="none"/>
              </w:rPr>
            </w:pPr>
          </w:p>
        </w:tc>
        <w:tc>
          <w:tcPr>
            <w:tcW w:w="3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B25DCA">
            <w:pPr>
              <w:jc w:val="center"/>
              <w:rPr>
                <w:rFonts w:hint="eastAsia" w:ascii="Times New Roman" w:hAnsi="Times New Roman" w:eastAsia="仿宋_GB2312" w:cs="仿宋_GB2312"/>
                <w:b/>
                <w:bCs/>
                <w:i w:val="0"/>
                <w:iCs w:val="0"/>
                <w:color w:val="000000"/>
                <w:sz w:val="18"/>
                <w:szCs w:val="18"/>
                <w:u w:val="none"/>
              </w:rPr>
            </w:pPr>
          </w:p>
        </w:tc>
        <w:tc>
          <w:tcPr>
            <w:tcW w:w="8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E3C9CC">
            <w:pPr>
              <w:jc w:val="center"/>
              <w:rPr>
                <w:rFonts w:hint="eastAsia" w:ascii="Times New Roman" w:hAnsi="Times New Roman" w:eastAsia="仿宋_GB2312" w:cs="仿宋_GB2312"/>
                <w:b/>
                <w:bCs/>
                <w:i w:val="0"/>
                <w:iCs w:val="0"/>
                <w:color w:val="000000"/>
                <w:sz w:val="18"/>
                <w:szCs w:val="18"/>
                <w:u w:val="none"/>
              </w:rPr>
            </w:pPr>
          </w:p>
        </w:tc>
      </w:tr>
      <w:tr w14:paraId="7ACC4F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2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4A5FCEC">
            <w:pPr>
              <w:keepNext w:val="0"/>
              <w:keepLines w:val="0"/>
              <w:widowControl/>
              <w:suppressLineNumbers w:val="0"/>
              <w:jc w:val="center"/>
              <w:textAlignment w:val="center"/>
              <w:rPr>
                <w:rFonts w:hint="eastAsia" w:ascii="Times New Roman" w:hAnsi="Times New Roman" w:eastAsia="仿宋_GB2312" w:cs="仿宋_GB2312"/>
                <w:b/>
                <w:bCs/>
                <w:i w:val="0"/>
                <w:iCs w:val="0"/>
                <w:color w:val="000000"/>
                <w:sz w:val="18"/>
                <w:szCs w:val="18"/>
                <w:u w:val="none"/>
              </w:rPr>
            </w:pPr>
            <w:r>
              <w:rPr>
                <w:rFonts w:hint="eastAsia" w:ascii="Times New Roman" w:hAnsi="Times New Roman" w:eastAsia="仿宋_GB2312" w:cs="仿宋_GB2312"/>
                <w:b/>
                <w:bCs/>
                <w:i w:val="0"/>
                <w:iCs w:val="0"/>
                <w:color w:val="000000"/>
                <w:kern w:val="0"/>
                <w:sz w:val="18"/>
                <w:szCs w:val="18"/>
                <w:u w:val="none"/>
                <w:lang w:val="en-US" w:eastAsia="zh-CN" w:bidi="ar"/>
              </w:rPr>
              <w:t>年度绩效指标完成情况</w:t>
            </w:r>
          </w:p>
        </w:tc>
        <w:tc>
          <w:tcPr>
            <w:tcW w:w="2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7F71A83">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产出指标</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A9341E">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数量指标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5E65F9">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保障“两委三部”重点会议次数</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B3C13A">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C40191">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&gt;=6次</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F512F0">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=6次</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FE9B89">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14FAD6">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87FC1C">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计划标准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4639A2">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5次</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2FCFE6">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按照完成比例赋分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F50699">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工作资料</w:t>
            </w:r>
          </w:p>
        </w:tc>
        <w:tc>
          <w:tcPr>
            <w:tcW w:w="8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E1F8B3">
            <w:pPr>
              <w:jc w:val="center"/>
              <w:rPr>
                <w:rFonts w:hint="eastAsia" w:ascii="Times New Roman" w:hAnsi="Times New Roman" w:eastAsia="仿宋_GB2312" w:cs="仿宋_GB2312"/>
                <w:i w:val="0"/>
                <w:iCs w:val="0"/>
                <w:color w:val="000000"/>
                <w:sz w:val="18"/>
                <w:szCs w:val="18"/>
                <w:u w:val="none"/>
              </w:rPr>
            </w:pPr>
          </w:p>
        </w:tc>
      </w:tr>
      <w:tr w14:paraId="560130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E52275">
            <w:pPr>
              <w:jc w:val="center"/>
              <w:rPr>
                <w:rFonts w:hint="eastAsia" w:ascii="Times New Roman" w:hAnsi="Times New Roman" w:eastAsia="仿宋_GB2312" w:cs="仿宋_GB2312"/>
                <w:b/>
                <w:bCs/>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0BE501">
            <w:pPr>
              <w:jc w:val="center"/>
              <w:rPr>
                <w:rFonts w:hint="eastAsia" w:ascii="Times New Roman" w:hAnsi="Times New Roman" w:eastAsia="仿宋_GB2312" w:cs="仿宋_GB2312"/>
                <w:i w:val="0"/>
                <w:iCs w:val="0"/>
                <w:color w:val="000000"/>
                <w:sz w:val="18"/>
                <w:szCs w:val="18"/>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718726">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数量指标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BEFF77">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应急管理相关执法检查和指导服务覆盖县市区数量</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E95753">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9DA0CA">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=96个县市区</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227F35">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=96个县市区</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F475A3">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68CDB1">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C3DE98">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计划标准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4A33E5">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96个县市区</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B75C39">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按照完成比例赋分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563299">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工作资料</w:t>
            </w:r>
          </w:p>
        </w:tc>
        <w:tc>
          <w:tcPr>
            <w:tcW w:w="8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1A13FA">
            <w:pPr>
              <w:jc w:val="center"/>
              <w:rPr>
                <w:rFonts w:hint="eastAsia" w:ascii="Times New Roman" w:hAnsi="Times New Roman" w:eastAsia="仿宋_GB2312" w:cs="仿宋_GB2312"/>
                <w:i w:val="0"/>
                <w:iCs w:val="0"/>
                <w:color w:val="000000"/>
                <w:sz w:val="18"/>
                <w:szCs w:val="18"/>
                <w:u w:val="none"/>
              </w:rPr>
            </w:pPr>
          </w:p>
        </w:tc>
      </w:tr>
      <w:tr w14:paraId="273368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7254A9">
            <w:pPr>
              <w:jc w:val="center"/>
              <w:rPr>
                <w:rFonts w:hint="eastAsia" w:ascii="Times New Roman" w:hAnsi="Times New Roman" w:eastAsia="仿宋_GB2312" w:cs="仿宋_GB2312"/>
                <w:b/>
                <w:bCs/>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9813DC">
            <w:pPr>
              <w:jc w:val="center"/>
              <w:rPr>
                <w:rFonts w:hint="eastAsia" w:ascii="Times New Roman" w:hAnsi="Times New Roman" w:eastAsia="仿宋_GB2312" w:cs="仿宋_GB2312"/>
                <w:i w:val="0"/>
                <w:iCs w:val="0"/>
                <w:color w:val="000000"/>
                <w:sz w:val="18"/>
                <w:szCs w:val="18"/>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C0770F">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数量指标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64D619">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安全生产综合基地运行维护场所</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5DECE0">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EBF749">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=1处</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F50EFC">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=1处</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5A28A7">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3FD242">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4FF994">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计划标准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7891F1">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C84841">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按照完成比例赋分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9BD212">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工作资料</w:t>
            </w:r>
          </w:p>
        </w:tc>
        <w:tc>
          <w:tcPr>
            <w:tcW w:w="8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2EF390">
            <w:pPr>
              <w:jc w:val="center"/>
              <w:rPr>
                <w:rFonts w:hint="eastAsia" w:ascii="Times New Roman" w:hAnsi="Times New Roman" w:eastAsia="仿宋_GB2312" w:cs="仿宋_GB2312"/>
                <w:i w:val="0"/>
                <w:iCs w:val="0"/>
                <w:color w:val="000000"/>
                <w:sz w:val="18"/>
                <w:szCs w:val="18"/>
                <w:u w:val="none"/>
              </w:rPr>
            </w:pPr>
          </w:p>
        </w:tc>
      </w:tr>
      <w:tr w14:paraId="35D031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A6D25D">
            <w:pPr>
              <w:jc w:val="center"/>
              <w:rPr>
                <w:rFonts w:hint="eastAsia" w:ascii="Times New Roman" w:hAnsi="Times New Roman" w:eastAsia="仿宋_GB2312" w:cs="仿宋_GB2312"/>
                <w:b/>
                <w:bCs/>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4BB314">
            <w:pPr>
              <w:jc w:val="center"/>
              <w:rPr>
                <w:rFonts w:hint="eastAsia" w:ascii="Times New Roman" w:hAnsi="Times New Roman" w:eastAsia="仿宋_GB2312" w:cs="仿宋_GB2312"/>
                <w:i w:val="0"/>
                <w:iCs w:val="0"/>
                <w:color w:val="000000"/>
                <w:sz w:val="18"/>
                <w:szCs w:val="18"/>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70A76A">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数量指标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0B0F51">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安全生产重点检查行业数量</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9C5BE2">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02E73A">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=7类</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8C8335">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=7类</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FBD9A2">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4EF0F4">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F9B0CF">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计划标准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CBB8BF">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3257EB">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按照完成比例赋分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9B78D6">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工作资料</w:t>
            </w:r>
          </w:p>
        </w:tc>
        <w:tc>
          <w:tcPr>
            <w:tcW w:w="8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4FD787">
            <w:pPr>
              <w:jc w:val="center"/>
              <w:rPr>
                <w:rFonts w:hint="eastAsia" w:ascii="Times New Roman" w:hAnsi="Times New Roman" w:eastAsia="仿宋_GB2312" w:cs="仿宋_GB2312"/>
                <w:i w:val="0"/>
                <w:iCs w:val="0"/>
                <w:color w:val="000000"/>
                <w:sz w:val="18"/>
                <w:szCs w:val="18"/>
                <w:u w:val="none"/>
              </w:rPr>
            </w:pPr>
          </w:p>
        </w:tc>
      </w:tr>
      <w:tr w14:paraId="45F371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1648EB">
            <w:pPr>
              <w:jc w:val="center"/>
              <w:rPr>
                <w:rFonts w:hint="eastAsia" w:ascii="Times New Roman" w:hAnsi="Times New Roman" w:eastAsia="仿宋_GB2312" w:cs="仿宋_GB2312"/>
                <w:b/>
                <w:bCs/>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D42953">
            <w:pPr>
              <w:jc w:val="center"/>
              <w:rPr>
                <w:rFonts w:hint="eastAsia" w:ascii="Times New Roman" w:hAnsi="Times New Roman" w:eastAsia="仿宋_GB2312" w:cs="仿宋_GB2312"/>
                <w:i w:val="0"/>
                <w:iCs w:val="0"/>
                <w:color w:val="000000"/>
                <w:sz w:val="18"/>
                <w:szCs w:val="18"/>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DFCE49">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数量指标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523DB8">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应急管理“十四五”规划实施进展监测评估数量</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E178A1">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912FAE">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=3项</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B65D27">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=3项</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128F01">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A333AD">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44157E">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计划标准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FF9E3B">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7A6090">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按照完成比例赋分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C26547">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工作资料</w:t>
            </w:r>
          </w:p>
        </w:tc>
        <w:tc>
          <w:tcPr>
            <w:tcW w:w="8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E7A4CA">
            <w:pPr>
              <w:jc w:val="center"/>
              <w:rPr>
                <w:rFonts w:hint="eastAsia" w:ascii="Times New Roman" w:hAnsi="Times New Roman" w:eastAsia="仿宋_GB2312" w:cs="仿宋_GB2312"/>
                <w:i w:val="0"/>
                <w:iCs w:val="0"/>
                <w:color w:val="000000"/>
                <w:sz w:val="18"/>
                <w:szCs w:val="18"/>
                <w:u w:val="none"/>
              </w:rPr>
            </w:pPr>
          </w:p>
        </w:tc>
      </w:tr>
      <w:tr w14:paraId="7A3D16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37DE15">
            <w:pPr>
              <w:jc w:val="center"/>
              <w:rPr>
                <w:rFonts w:hint="eastAsia" w:ascii="Times New Roman" w:hAnsi="Times New Roman" w:eastAsia="仿宋_GB2312" w:cs="仿宋_GB2312"/>
                <w:b/>
                <w:bCs/>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9C6E91">
            <w:pPr>
              <w:jc w:val="center"/>
              <w:rPr>
                <w:rFonts w:hint="eastAsia" w:ascii="Times New Roman" w:hAnsi="Times New Roman" w:eastAsia="仿宋_GB2312" w:cs="仿宋_GB2312"/>
                <w:i w:val="0"/>
                <w:iCs w:val="0"/>
                <w:color w:val="000000"/>
                <w:sz w:val="18"/>
                <w:szCs w:val="18"/>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74C63C">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数量指标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250B89">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举办应急管理、安全生产、防灾减灾救灾宣传活动</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665030">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B973B5">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&gt;=4场</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4B32AB">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=5场</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D0ED39">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125%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BFD345">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3.75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8D8286">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计划标准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9332FF">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9B5179">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按照完成比例赋分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1AF127">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工作资料</w:t>
            </w:r>
          </w:p>
        </w:tc>
        <w:tc>
          <w:tcPr>
            <w:tcW w:w="8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BFE05C">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根据2024年工作实际情况，增加了1场宣传活动，在以后年度中精准设置目标</w:t>
            </w:r>
          </w:p>
        </w:tc>
      </w:tr>
      <w:tr w14:paraId="3B48A8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FA2888">
            <w:pPr>
              <w:jc w:val="center"/>
              <w:rPr>
                <w:rFonts w:hint="eastAsia" w:ascii="Times New Roman" w:hAnsi="Times New Roman" w:eastAsia="仿宋_GB2312" w:cs="仿宋_GB2312"/>
                <w:b/>
                <w:bCs/>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6C47FB">
            <w:pPr>
              <w:jc w:val="center"/>
              <w:rPr>
                <w:rFonts w:hint="eastAsia" w:ascii="Times New Roman" w:hAnsi="Times New Roman" w:eastAsia="仿宋_GB2312" w:cs="仿宋_GB2312"/>
                <w:i w:val="0"/>
                <w:iCs w:val="0"/>
                <w:color w:val="000000"/>
                <w:sz w:val="18"/>
                <w:szCs w:val="18"/>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06BCFD">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数量指标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3AB3ED">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全年开展各项培训次数</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FA35ED">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4</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A169D0">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&gt;=8次</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3ECC64">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=10次</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3817CE">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125%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EC1420">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3</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49DC79">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计划标准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7BC20C">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4次</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762CD5">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按照完成比例赋分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891FB3">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工作资料</w:t>
            </w:r>
          </w:p>
        </w:tc>
        <w:tc>
          <w:tcPr>
            <w:tcW w:w="8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68DE72">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根据2024年工作实际情况，增加了2次培训次数，在以后年度中精准设置目标</w:t>
            </w:r>
          </w:p>
        </w:tc>
      </w:tr>
      <w:tr w14:paraId="2A2D6F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717466">
            <w:pPr>
              <w:jc w:val="center"/>
              <w:rPr>
                <w:rFonts w:hint="eastAsia" w:ascii="Times New Roman" w:hAnsi="Times New Roman" w:eastAsia="仿宋_GB2312" w:cs="仿宋_GB2312"/>
                <w:b/>
                <w:bCs/>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55C11B">
            <w:pPr>
              <w:jc w:val="center"/>
              <w:rPr>
                <w:rFonts w:hint="eastAsia" w:ascii="Times New Roman" w:hAnsi="Times New Roman" w:eastAsia="仿宋_GB2312" w:cs="仿宋_GB2312"/>
                <w:i w:val="0"/>
                <w:iCs w:val="0"/>
                <w:color w:val="000000"/>
                <w:sz w:val="18"/>
                <w:szCs w:val="18"/>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FDC720">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数量指标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40DBCA">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应急管理信息系统保障运行数量</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089EBC">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4</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540141">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&gt;=7套</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FEFFE5">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=7套</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CE3EB7">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9F6454">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4</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55A2A0">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计划标准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384E9D">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5套</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ABCCCF">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按照完成比例赋分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C39D3C">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工作资料</w:t>
            </w:r>
          </w:p>
        </w:tc>
        <w:tc>
          <w:tcPr>
            <w:tcW w:w="8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B462E1">
            <w:pPr>
              <w:jc w:val="center"/>
              <w:rPr>
                <w:rFonts w:hint="eastAsia" w:ascii="Times New Roman" w:hAnsi="Times New Roman" w:eastAsia="仿宋_GB2312" w:cs="仿宋_GB2312"/>
                <w:i w:val="0"/>
                <w:iCs w:val="0"/>
                <w:color w:val="000000"/>
                <w:sz w:val="18"/>
                <w:szCs w:val="18"/>
                <w:u w:val="none"/>
              </w:rPr>
            </w:pPr>
          </w:p>
        </w:tc>
      </w:tr>
      <w:tr w14:paraId="413C0E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08A8EF">
            <w:pPr>
              <w:jc w:val="center"/>
              <w:rPr>
                <w:rFonts w:hint="eastAsia" w:ascii="Times New Roman" w:hAnsi="Times New Roman" w:eastAsia="仿宋_GB2312" w:cs="仿宋_GB2312"/>
                <w:b/>
                <w:bCs/>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355F2F">
            <w:pPr>
              <w:jc w:val="center"/>
              <w:rPr>
                <w:rFonts w:hint="eastAsia" w:ascii="Times New Roman" w:hAnsi="Times New Roman" w:eastAsia="仿宋_GB2312" w:cs="仿宋_GB2312"/>
                <w:i w:val="0"/>
                <w:iCs w:val="0"/>
                <w:color w:val="000000"/>
                <w:sz w:val="18"/>
                <w:szCs w:val="18"/>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8B7A9E">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数量指标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A6C47C">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采购应急救援装备批次</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01F0CF">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4</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51D28D">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=2批次</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F6A789">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=2批次</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02E64D">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E5463F">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4</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BDC343">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计划标准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97BEBB">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1B96EF">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按照完成比例赋分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839F73">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工作资料</w:t>
            </w:r>
          </w:p>
        </w:tc>
        <w:tc>
          <w:tcPr>
            <w:tcW w:w="8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012567">
            <w:pPr>
              <w:jc w:val="center"/>
              <w:rPr>
                <w:rFonts w:hint="eastAsia" w:ascii="Times New Roman" w:hAnsi="Times New Roman" w:eastAsia="仿宋_GB2312" w:cs="仿宋_GB2312"/>
                <w:i w:val="0"/>
                <w:iCs w:val="0"/>
                <w:color w:val="000000"/>
                <w:sz w:val="18"/>
                <w:szCs w:val="18"/>
                <w:u w:val="none"/>
              </w:rPr>
            </w:pPr>
          </w:p>
        </w:tc>
      </w:tr>
      <w:tr w14:paraId="00D490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B4B694">
            <w:pPr>
              <w:jc w:val="center"/>
              <w:rPr>
                <w:rFonts w:hint="eastAsia" w:ascii="Times New Roman" w:hAnsi="Times New Roman" w:eastAsia="仿宋_GB2312" w:cs="仿宋_GB2312"/>
                <w:b/>
                <w:bCs/>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C079E0">
            <w:pPr>
              <w:jc w:val="center"/>
              <w:rPr>
                <w:rFonts w:hint="eastAsia" w:ascii="Times New Roman" w:hAnsi="Times New Roman" w:eastAsia="仿宋_GB2312" w:cs="仿宋_GB2312"/>
                <w:i w:val="0"/>
                <w:iCs w:val="0"/>
                <w:color w:val="000000"/>
                <w:sz w:val="18"/>
                <w:szCs w:val="18"/>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BE1F1D">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质量指标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B9F9B4">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安全生产执法检查计划完成率</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4EC7D9">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4</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011A81">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=100%</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D67D72">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1E6391">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2CF065">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4</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7CA554">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计划标准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2E1C63">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100%</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7435E4">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按照完成比例赋分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251141">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工作资料</w:t>
            </w:r>
          </w:p>
        </w:tc>
        <w:tc>
          <w:tcPr>
            <w:tcW w:w="8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E77C0E">
            <w:pPr>
              <w:jc w:val="center"/>
              <w:rPr>
                <w:rFonts w:hint="eastAsia" w:ascii="Times New Roman" w:hAnsi="Times New Roman" w:eastAsia="仿宋_GB2312" w:cs="仿宋_GB2312"/>
                <w:i w:val="0"/>
                <w:iCs w:val="0"/>
                <w:color w:val="000000"/>
                <w:sz w:val="18"/>
                <w:szCs w:val="18"/>
                <w:u w:val="none"/>
              </w:rPr>
            </w:pPr>
          </w:p>
        </w:tc>
      </w:tr>
      <w:tr w14:paraId="0817C5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ECCF96">
            <w:pPr>
              <w:jc w:val="center"/>
              <w:rPr>
                <w:rFonts w:hint="eastAsia" w:ascii="Times New Roman" w:hAnsi="Times New Roman" w:eastAsia="仿宋_GB2312" w:cs="仿宋_GB2312"/>
                <w:b/>
                <w:bCs/>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F45BC6">
            <w:pPr>
              <w:jc w:val="center"/>
              <w:rPr>
                <w:rFonts w:hint="eastAsia" w:ascii="Times New Roman" w:hAnsi="Times New Roman" w:eastAsia="仿宋_GB2312" w:cs="仿宋_GB2312"/>
                <w:i w:val="0"/>
                <w:iCs w:val="0"/>
                <w:color w:val="000000"/>
                <w:sz w:val="18"/>
                <w:szCs w:val="18"/>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77D75C">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质量指标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4ACBE6">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重大生产安全隐患挂牌督办率</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29716B">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4</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124B84">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=100%</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D4A595">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5726A9">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671285">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4</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60DCBE">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计划标准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D86023">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94.4%</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0FE3A8">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按照完成比例赋分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AD8888">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工作资料</w:t>
            </w:r>
          </w:p>
        </w:tc>
        <w:tc>
          <w:tcPr>
            <w:tcW w:w="8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3401BD">
            <w:pPr>
              <w:jc w:val="center"/>
              <w:rPr>
                <w:rFonts w:hint="eastAsia" w:ascii="Times New Roman" w:hAnsi="Times New Roman" w:eastAsia="仿宋_GB2312" w:cs="仿宋_GB2312"/>
                <w:i w:val="0"/>
                <w:iCs w:val="0"/>
                <w:color w:val="000000"/>
                <w:sz w:val="18"/>
                <w:szCs w:val="18"/>
                <w:u w:val="none"/>
              </w:rPr>
            </w:pPr>
          </w:p>
        </w:tc>
      </w:tr>
      <w:tr w14:paraId="3F822D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E19045">
            <w:pPr>
              <w:jc w:val="center"/>
              <w:rPr>
                <w:rFonts w:hint="eastAsia" w:ascii="Times New Roman" w:hAnsi="Times New Roman" w:eastAsia="仿宋_GB2312" w:cs="仿宋_GB2312"/>
                <w:b/>
                <w:bCs/>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73F9C6">
            <w:pPr>
              <w:jc w:val="center"/>
              <w:rPr>
                <w:rFonts w:hint="eastAsia" w:ascii="Times New Roman" w:hAnsi="Times New Roman" w:eastAsia="仿宋_GB2312" w:cs="仿宋_GB2312"/>
                <w:i w:val="0"/>
                <w:iCs w:val="0"/>
                <w:color w:val="000000"/>
                <w:sz w:val="18"/>
                <w:szCs w:val="18"/>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35A452">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质量指标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499111">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应急管理信息系统运维验收合格率</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157417">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4</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3788C2">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=100%</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00D7CE">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26B586">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99D13A">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4</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1CF2CC">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计划标准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571829">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5EE308">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按照完成比例赋分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2FBFF6">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工作资料</w:t>
            </w:r>
          </w:p>
        </w:tc>
        <w:tc>
          <w:tcPr>
            <w:tcW w:w="8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B6EB10">
            <w:pPr>
              <w:jc w:val="center"/>
              <w:rPr>
                <w:rFonts w:hint="eastAsia" w:ascii="Times New Roman" w:hAnsi="Times New Roman" w:eastAsia="仿宋_GB2312" w:cs="仿宋_GB2312"/>
                <w:i w:val="0"/>
                <w:iCs w:val="0"/>
                <w:color w:val="000000"/>
                <w:sz w:val="18"/>
                <w:szCs w:val="18"/>
                <w:u w:val="none"/>
              </w:rPr>
            </w:pPr>
          </w:p>
        </w:tc>
      </w:tr>
      <w:tr w14:paraId="6BA265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D5BCFE">
            <w:pPr>
              <w:jc w:val="center"/>
              <w:rPr>
                <w:rFonts w:hint="eastAsia" w:ascii="Times New Roman" w:hAnsi="Times New Roman" w:eastAsia="仿宋_GB2312" w:cs="仿宋_GB2312"/>
                <w:b/>
                <w:bCs/>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76FF50">
            <w:pPr>
              <w:jc w:val="center"/>
              <w:rPr>
                <w:rFonts w:hint="eastAsia" w:ascii="Times New Roman" w:hAnsi="Times New Roman" w:eastAsia="仿宋_GB2312" w:cs="仿宋_GB2312"/>
                <w:i w:val="0"/>
                <w:iCs w:val="0"/>
                <w:color w:val="000000"/>
                <w:sz w:val="18"/>
                <w:szCs w:val="18"/>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E5AEEB">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质量指标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BBDCD1">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应急救援装备采购验收合格率</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FB92A3">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4</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D02CEB">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=100%</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4E754B">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12F4D7">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BCC3B5">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4</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BE6CB4">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计划标准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2F0306">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EE1503">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按照完成比例赋分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411FB8">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工作资料</w:t>
            </w:r>
          </w:p>
        </w:tc>
        <w:tc>
          <w:tcPr>
            <w:tcW w:w="8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FE2798">
            <w:pPr>
              <w:jc w:val="center"/>
              <w:rPr>
                <w:rFonts w:hint="eastAsia" w:ascii="Times New Roman" w:hAnsi="Times New Roman" w:eastAsia="仿宋_GB2312" w:cs="仿宋_GB2312"/>
                <w:i w:val="0"/>
                <w:iCs w:val="0"/>
                <w:color w:val="000000"/>
                <w:sz w:val="18"/>
                <w:szCs w:val="18"/>
                <w:u w:val="none"/>
              </w:rPr>
            </w:pPr>
          </w:p>
        </w:tc>
      </w:tr>
      <w:tr w14:paraId="0A5C30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7A7194">
            <w:pPr>
              <w:jc w:val="center"/>
              <w:rPr>
                <w:rFonts w:hint="eastAsia" w:ascii="Times New Roman" w:hAnsi="Times New Roman" w:eastAsia="仿宋_GB2312" w:cs="仿宋_GB2312"/>
                <w:b/>
                <w:bCs/>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21683B">
            <w:pPr>
              <w:jc w:val="center"/>
              <w:rPr>
                <w:rFonts w:hint="eastAsia" w:ascii="Times New Roman" w:hAnsi="Times New Roman" w:eastAsia="仿宋_GB2312" w:cs="仿宋_GB2312"/>
                <w:i w:val="0"/>
                <w:iCs w:val="0"/>
                <w:color w:val="000000"/>
                <w:sz w:val="18"/>
                <w:szCs w:val="18"/>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D67B34">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时效指标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E2773E">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年度检查任务按期完成率</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96DC02">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4</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2006B4">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&gt;=90%</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312C3C">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=90%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34FA41">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6A0C3D">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4</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16059D">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计划标准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66F555">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0AB79E">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按照完成比例赋分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B73044">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工作资料</w:t>
            </w:r>
          </w:p>
        </w:tc>
        <w:tc>
          <w:tcPr>
            <w:tcW w:w="8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243223">
            <w:pPr>
              <w:jc w:val="center"/>
              <w:rPr>
                <w:rFonts w:hint="eastAsia" w:ascii="Times New Roman" w:hAnsi="Times New Roman" w:eastAsia="仿宋_GB2312" w:cs="仿宋_GB2312"/>
                <w:i w:val="0"/>
                <w:iCs w:val="0"/>
                <w:color w:val="000000"/>
                <w:sz w:val="18"/>
                <w:szCs w:val="18"/>
                <w:u w:val="none"/>
              </w:rPr>
            </w:pPr>
          </w:p>
        </w:tc>
      </w:tr>
      <w:tr w14:paraId="7F3D1E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6E9367">
            <w:pPr>
              <w:jc w:val="center"/>
              <w:rPr>
                <w:rFonts w:hint="eastAsia" w:ascii="Times New Roman" w:hAnsi="Times New Roman" w:eastAsia="仿宋_GB2312" w:cs="仿宋_GB2312"/>
                <w:b/>
                <w:bCs/>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34376A">
            <w:pPr>
              <w:jc w:val="center"/>
              <w:rPr>
                <w:rFonts w:hint="eastAsia" w:ascii="Times New Roman" w:hAnsi="Times New Roman" w:eastAsia="仿宋_GB2312" w:cs="仿宋_GB2312"/>
                <w:i w:val="0"/>
                <w:iCs w:val="0"/>
                <w:color w:val="000000"/>
                <w:sz w:val="18"/>
                <w:szCs w:val="18"/>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13B54E">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时效指标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86BA5A">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应急管理信息系统故障响应时间</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BB0181">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4</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FF88D4">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&lt;=12小时</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A4FE0E">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=3小时</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A9F509">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7FF198">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4</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0BE319">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计划标准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AEB7EE">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7C96A2">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直接赋分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88EEFD">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工作资料</w:t>
            </w:r>
          </w:p>
        </w:tc>
        <w:tc>
          <w:tcPr>
            <w:tcW w:w="8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393123">
            <w:pPr>
              <w:jc w:val="center"/>
              <w:rPr>
                <w:rFonts w:hint="eastAsia" w:ascii="Times New Roman" w:hAnsi="Times New Roman" w:eastAsia="仿宋_GB2312" w:cs="仿宋_GB2312"/>
                <w:i w:val="0"/>
                <w:iCs w:val="0"/>
                <w:color w:val="000000"/>
                <w:sz w:val="18"/>
                <w:szCs w:val="18"/>
                <w:u w:val="none"/>
              </w:rPr>
            </w:pPr>
          </w:p>
        </w:tc>
      </w:tr>
      <w:tr w14:paraId="76679D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FAA31A">
            <w:pPr>
              <w:jc w:val="center"/>
              <w:rPr>
                <w:rFonts w:hint="eastAsia" w:ascii="Times New Roman" w:hAnsi="Times New Roman" w:eastAsia="仿宋_GB2312" w:cs="仿宋_GB2312"/>
                <w:b/>
                <w:bCs/>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229BF8">
            <w:pPr>
              <w:jc w:val="center"/>
              <w:rPr>
                <w:rFonts w:hint="eastAsia" w:ascii="Times New Roman" w:hAnsi="Times New Roman" w:eastAsia="仿宋_GB2312" w:cs="仿宋_GB2312"/>
                <w:i w:val="0"/>
                <w:iCs w:val="0"/>
                <w:color w:val="000000"/>
                <w:sz w:val="18"/>
                <w:szCs w:val="18"/>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557D38">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时效指标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33E1A5">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应急救援装备采购按期完成率</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FF9B6B">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4</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D21763">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&gt;=95%</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783F96">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=95%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87DC07">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43CE95">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4</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5C07BE">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计划标准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3C77FE">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59641B">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按照完成比例赋分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446EA3">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工作资料</w:t>
            </w:r>
          </w:p>
        </w:tc>
        <w:tc>
          <w:tcPr>
            <w:tcW w:w="8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CF8185">
            <w:pPr>
              <w:jc w:val="center"/>
              <w:rPr>
                <w:rFonts w:hint="eastAsia" w:ascii="Times New Roman" w:hAnsi="Times New Roman" w:eastAsia="仿宋_GB2312" w:cs="仿宋_GB2312"/>
                <w:i w:val="0"/>
                <w:iCs w:val="0"/>
                <w:color w:val="000000"/>
                <w:sz w:val="18"/>
                <w:szCs w:val="18"/>
                <w:u w:val="none"/>
              </w:rPr>
            </w:pPr>
          </w:p>
        </w:tc>
      </w:tr>
      <w:tr w14:paraId="35BDDC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666E60">
            <w:pPr>
              <w:jc w:val="center"/>
              <w:rPr>
                <w:rFonts w:hint="eastAsia" w:ascii="Times New Roman" w:hAnsi="Times New Roman" w:eastAsia="仿宋_GB2312" w:cs="仿宋_GB2312"/>
                <w:b/>
                <w:bCs/>
                <w:i w:val="0"/>
                <w:iCs w:val="0"/>
                <w:color w:val="000000"/>
                <w:sz w:val="18"/>
                <w:szCs w:val="18"/>
                <w:u w:val="none"/>
              </w:rPr>
            </w:pPr>
          </w:p>
        </w:tc>
        <w:tc>
          <w:tcPr>
            <w:tcW w:w="2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699149D">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效益指标</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6CD625">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社会效益指标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A66D00">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形成2024年度安全生产监督检查完成情况报告</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06AEE6">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10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95AB9A">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=1份</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0BEED4">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=1份</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3D2F65">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E7D59D">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10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CF8D59">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计划标准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C74E8A">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5D8559">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直接赋分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88676B">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工作资料</w:t>
            </w:r>
          </w:p>
        </w:tc>
        <w:tc>
          <w:tcPr>
            <w:tcW w:w="8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6AD25A">
            <w:pPr>
              <w:jc w:val="center"/>
              <w:rPr>
                <w:rFonts w:hint="eastAsia" w:ascii="Times New Roman" w:hAnsi="Times New Roman" w:eastAsia="仿宋_GB2312" w:cs="仿宋_GB2312"/>
                <w:i w:val="0"/>
                <w:iCs w:val="0"/>
                <w:color w:val="000000"/>
                <w:sz w:val="18"/>
                <w:szCs w:val="18"/>
                <w:u w:val="none"/>
              </w:rPr>
            </w:pPr>
          </w:p>
        </w:tc>
      </w:tr>
      <w:tr w14:paraId="239155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EE4F03">
            <w:pPr>
              <w:jc w:val="center"/>
              <w:rPr>
                <w:rFonts w:hint="eastAsia" w:ascii="Times New Roman" w:hAnsi="Times New Roman" w:eastAsia="仿宋_GB2312" w:cs="仿宋_GB2312"/>
                <w:b/>
                <w:bCs/>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0D7473">
            <w:pPr>
              <w:jc w:val="center"/>
              <w:rPr>
                <w:rFonts w:hint="eastAsia" w:ascii="Times New Roman" w:hAnsi="Times New Roman" w:eastAsia="仿宋_GB2312" w:cs="仿宋_GB2312"/>
                <w:i w:val="0"/>
                <w:iCs w:val="0"/>
                <w:color w:val="000000"/>
                <w:sz w:val="18"/>
                <w:szCs w:val="18"/>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28583F">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社会效益指标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58C369">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完成应急管理“十四五”规划实施进展监测</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A19E48">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10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A3AFB9">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完成</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9ED0C6">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完成</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AA9132">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F3A30C">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10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AAE780">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其他标准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2C4839">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6EE399">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直接赋分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5582E1">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工作资料</w:t>
            </w:r>
          </w:p>
        </w:tc>
        <w:tc>
          <w:tcPr>
            <w:tcW w:w="8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D9EC1D">
            <w:pPr>
              <w:jc w:val="center"/>
              <w:rPr>
                <w:rFonts w:hint="eastAsia" w:ascii="Times New Roman" w:hAnsi="Times New Roman" w:eastAsia="仿宋_GB2312" w:cs="仿宋_GB2312"/>
                <w:i w:val="0"/>
                <w:iCs w:val="0"/>
                <w:color w:val="000000"/>
                <w:sz w:val="18"/>
                <w:szCs w:val="18"/>
                <w:u w:val="none"/>
              </w:rPr>
            </w:pPr>
          </w:p>
        </w:tc>
      </w:tr>
      <w:tr w14:paraId="31FC90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092" w:type="pct"/>
            <w:gridSpan w:val="4"/>
            <w:tcBorders>
              <w:top w:val="single" w:color="000000" w:sz="4" w:space="0"/>
              <w:left w:val="single" w:color="000000" w:sz="4" w:space="0"/>
              <w:bottom w:val="single" w:color="000000" w:sz="4" w:space="0"/>
              <w:right w:val="nil"/>
            </w:tcBorders>
            <w:shd w:val="clear" w:color="auto" w:fill="auto"/>
            <w:vAlign w:val="center"/>
          </w:tcPr>
          <w:p w14:paraId="2B26AA15">
            <w:pPr>
              <w:keepNext w:val="0"/>
              <w:keepLines w:val="0"/>
              <w:widowControl/>
              <w:suppressLineNumbers w:val="0"/>
              <w:jc w:val="center"/>
              <w:textAlignment w:val="center"/>
              <w:rPr>
                <w:rFonts w:hint="eastAsia" w:ascii="Times New Roman" w:hAnsi="Times New Roman" w:eastAsia="仿宋_GB2312" w:cs="仿宋_GB2312"/>
                <w:b/>
                <w:bCs/>
                <w:i w:val="0"/>
                <w:iCs w:val="0"/>
                <w:color w:val="000000"/>
                <w:sz w:val="18"/>
                <w:szCs w:val="18"/>
                <w:u w:val="none"/>
              </w:rPr>
            </w:pPr>
            <w:r>
              <w:rPr>
                <w:rFonts w:hint="eastAsia" w:ascii="Times New Roman" w:hAnsi="Times New Roman" w:eastAsia="仿宋_GB2312" w:cs="仿宋_GB2312"/>
                <w:b/>
                <w:bCs/>
                <w:i w:val="0"/>
                <w:iCs w:val="0"/>
                <w:color w:val="000000"/>
                <w:kern w:val="0"/>
                <w:sz w:val="18"/>
                <w:szCs w:val="18"/>
                <w:u w:val="none"/>
                <w:lang w:val="en-US" w:eastAsia="zh-CN" w:bidi="ar"/>
              </w:rPr>
              <w:t>总分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AAB461">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100</w:t>
            </w:r>
          </w:p>
        </w:tc>
        <w:tc>
          <w:tcPr>
            <w:tcW w:w="332" w:type="pct"/>
            <w:tcBorders>
              <w:top w:val="single" w:color="000000" w:sz="4" w:space="0"/>
              <w:left w:val="nil"/>
              <w:bottom w:val="single" w:color="000000" w:sz="4" w:space="0"/>
              <w:right w:val="single" w:color="000000" w:sz="4" w:space="0"/>
            </w:tcBorders>
            <w:shd w:val="clear" w:color="auto" w:fill="auto"/>
            <w:vAlign w:val="center"/>
          </w:tcPr>
          <w:p w14:paraId="480BFD0B">
            <w:pPr>
              <w:rPr>
                <w:rFonts w:hint="eastAsia" w:ascii="Times New Roman" w:hAnsi="Times New Roman" w:eastAsia="仿宋_GB2312" w:cs="仿宋_GB2312"/>
                <w:b/>
                <w:bCs/>
                <w:i w:val="0"/>
                <w:iCs w:val="0"/>
                <w:color w:val="000000"/>
                <w:sz w:val="18"/>
                <w:szCs w:val="18"/>
                <w:u w:val="none"/>
              </w:rPr>
            </w:pP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B34CCC">
            <w:pPr>
              <w:jc w:val="center"/>
              <w:rPr>
                <w:rFonts w:hint="eastAsia" w:ascii="Times New Roman" w:hAnsi="Times New Roman" w:eastAsia="仿宋_GB2312" w:cs="仿宋_GB2312"/>
                <w:i w:val="0"/>
                <w:iCs w:val="0"/>
                <w:color w:val="000000"/>
                <w:sz w:val="18"/>
                <w:szCs w:val="18"/>
                <w:u w:val="none"/>
              </w:rPr>
            </w:pP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2B8659">
            <w:pPr>
              <w:jc w:val="center"/>
              <w:rPr>
                <w:rFonts w:hint="eastAsia" w:ascii="Times New Roman" w:hAnsi="Times New Roman" w:eastAsia="仿宋_GB2312" w:cs="仿宋_GB2312"/>
                <w:i w:val="0"/>
                <w:iCs w:val="0"/>
                <w:color w:val="000000"/>
                <w:sz w:val="18"/>
                <w:szCs w:val="18"/>
                <w:u w:val="none"/>
              </w:rPr>
            </w:pP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5A79FD">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97.</w:t>
            </w:r>
            <w:r>
              <w:rPr>
                <w:rFonts w:hint="eastAsia" w:eastAsia="仿宋_GB2312" w:cs="仿宋_GB2312"/>
                <w:i w:val="0"/>
                <w:iCs w:val="0"/>
                <w:color w:val="000000"/>
                <w:kern w:val="0"/>
                <w:sz w:val="18"/>
                <w:szCs w:val="18"/>
                <w:u w:val="none"/>
                <w:lang w:val="en-US" w:eastAsia="zh-CN" w:bidi="ar"/>
              </w:rPr>
              <w:t>75</w:t>
            </w:r>
            <w:r>
              <w:rPr>
                <w:rFonts w:hint="eastAsia" w:ascii="Times New Roman" w:hAnsi="Times New Roman" w:eastAsia="仿宋_GB2312" w:cs="仿宋_GB2312"/>
                <w:i w:val="0"/>
                <w:iCs w:val="0"/>
                <w:color w:val="000000"/>
                <w:kern w:val="0"/>
                <w:sz w:val="18"/>
                <w:szCs w:val="18"/>
                <w:u w:val="none"/>
                <w:lang w:val="en-US" w:eastAsia="zh-CN" w:bidi="ar"/>
              </w:rPr>
              <w:t>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A382FE">
            <w:pPr>
              <w:rPr>
                <w:rFonts w:hint="eastAsia" w:ascii="Times New Roman" w:hAnsi="Times New Roman" w:eastAsia="仿宋_GB2312" w:cs="仿宋_GB2312"/>
                <w:i w:val="0"/>
                <w:iCs w:val="0"/>
                <w:color w:val="000000"/>
                <w:sz w:val="18"/>
                <w:szCs w:val="18"/>
                <w:u w:val="none"/>
              </w:rPr>
            </w:pP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B4EA35">
            <w:pPr>
              <w:rPr>
                <w:rFonts w:hint="eastAsia" w:ascii="Times New Roman" w:hAnsi="Times New Roman" w:eastAsia="仿宋_GB2312" w:cs="仿宋_GB2312"/>
                <w:i w:val="0"/>
                <w:iCs w:val="0"/>
                <w:color w:val="000000"/>
                <w:sz w:val="18"/>
                <w:szCs w:val="18"/>
                <w:u w:val="none"/>
              </w:rPr>
            </w:pP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B28D1E">
            <w:pPr>
              <w:rPr>
                <w:rFonts w:hint="eastAsia" w:ascii="Times New Roman" w:hAnsi="Times New Roman" w:eastAsia="仿宋_GB2312" w:cs="仿宋_GB2312"/>
                <w:i w:val="0"/>
                <w:iCs w:val="0"/>
                <w:color w:val="000000"/>
                <w:sz w:val="18"/>
                <w:szCs w:val="18"/>
                <w:u w:val="none"/>
              </w:rPr>
            </w:pP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051305">
            <w:pPr>
              <w:rPr>
                <w:rFonts w:hint="eastAsia" w:ascii="Times New Roman" w:hAnsi="Times New Roman" w:eastAsia="仿宋_GB2312" w:cs="仿宋_GB2312"/>
                <w:i w:val="0"/>
                <w:iCs w:val="0"/>
                <w:color w:val="000000"/>
                <w:sz w:val="18"/>
                <w:szCs w:val="18"/>
                <w:u w:val="none"/>
              </w:rPr>
            </w:pPr>
          </w:p>
        </w:tc>
        <w:tc>
          <w:tcPr>
            <w:tcW w:w="8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DF7CDA">
            <w:pPr>
              <w:rPr>
                <w:rFonts w:hint="eastAsia" w:ascii="Times New Roman" w:hAnsi="Times New Roman" w:eastAsia="仿宋_GB2312" w:cs="仿宋_GB2312"/>
                <w:i w:val="0"/>
                <w:iCs w:val="0"/>
                <w:color w:val="000000"/>
                <w:sz w:val="18"/>
                <w:szCs w:val="18"/>
                <w:u w:val="none"/>
              </w:rPr>
            </w:pPr>
          </w:p>
        </w:tc>
      </w:tr>
    </w:tbl>
    <w:p w14:paraId="22593E3A">
      <w:pPr>
        <w:rPr>
          <w:rFonts w:hint="default" w:ascii="Times New Roman" w:hAnsi="Times New Roman" w:cs="Times New Roman"/>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A00002BF" w:usb1="38CF7CFA" w:usb2="00082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14:paraId="6E9D485D">
        <w:pPr>
          <w:pStyle w:val="7"/>
          <w:jc w:val="center"/>
        </w:pPr>
        <w:r>
          <w:fldChar w:fldCharType="begin"/>
        </w:r>
        <w:r>
          <w:instrText xml:space="preserve">PAGE   \* MERGEFORMAT</w:instrText>
        </w:r>
        <w:r>
          <w:fldChar w:fldCharType="separate"/>
        </w:r>
        <w:r>
          <w:rPr>
            <w:lang w:val="zh-CN"/>
          </w:rPr>
          <w:t>13</w:t>
        </w:r>
        <w:r>
          <w:fldChar w:fldCharType="end"/>
        </w:r>
      </w:p>
    </w:sdtContent>
  </w:sdt>
  <w:p w14:paraId="049FE444">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4CD2B0F"/>
    <w:multiLevelType w:val="singleLevel"/>
    <w:tmpl w:val="F4CD2B0F"/>
    <w:lvl w:ilvl="0" w:tentative="0">
      <w:start w:val="1"/>
      <w:numFmt w:val="decimal"/>
      <w:suff w:val="nothing"/>
      <w:lvlText w:val="（%1）"/>
      <w:lvlJc w:val="left"/>
    </w:lvl>
  </w:abstractNum>
  <w:abstractNum w:abstractNumId="1">
    <w:nsid w:val="116B29BF"/>
    <w:multiLevelType w:val="singleLevel"/>
    <w:tmpl w:val="116B29BF"/>
    <w:lvl w:ilvl="0" w:tentative="0">
      <w:start w:val="3"/>
      <w:numFmt w:val="chineseCounting"/>
      <w:suff w:val="nothing"/>
      <w:lvlText w:val="%1、"/>
      <w:lvlJc w:val="left"/>
      <w:rPr>
        <w:rFonts w:hint="eastAsia"/>
      </w:rPr>
    </w:lvl>
  </w:abstractNum>
  <w:abstractNum w:abstractNumId="2">
    <w:nsid w:val="27813159"/>
    <w:multiLevelType w:val="singleLevel"/>
    <w:tmpl w:val="27813159"/>
    <w:lvl w:ilvl="0" w:tentative="0">
      <w:start w:val="3"/>
      <w:numFmt w:val="chineseCounting"/>
      <w:suff w:val="nothing"/>
      <w:lvlText w:val="（%1）"/>
      <w:lvlJc w:val="left"/>
      <w:rPr>
        <w:rFonts w:hint="eastAsia"/>
      </w:rPr>
    </w:lvl>
  </w:abstractNum>
  <w:abstractNum w:abstractNumId="3">
    <w:nsid w:val="6FAA0AB1"/>
    <w:multiLevelType w:val="singleLevel"/>
    <w:tmpl w:val="6FAA0AB1"/>
    <w:lvl w:ilvl="0" w:tentative="0">
      <w:start w:val="2"/>
      <w:numFmt w:val="chineseCounting"/>
      <w:suff w:val="nothing"/>
      <w:lvlText w:val="（%1）"/>
      <w:lvlJc w:val="left"/>
      <w:rPr>
        <w:rFonts w:hint="eastAsia"/>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RhNGZlYjU3NWUzODhiMzVmMGM2MGM2OTkwNGJhMjgifQ=="/>
  </w:docVars>
  <w:rsids>
    <w:rsidRoot w:val="FF6C4049"/>
    <w:rsid w:val="006F7242"/>
    <w:rsid w:val="007B168A"/>
    <w:rsid w:val="008B2CFE"/>
    <w:rsid w:val="00F26FF6"/>
    <w:rsid w:val="01610122"/>
    <w:rsid w:val="02510197"/>
    <w:rsid w:val="03EC461B"/>
    <w:rsid w:val="04F26CD8"/>
    <w:rsid w:val="07397B77"/>
    <w:rsid w:val="08DB0501"/>
    <w:rsid w:val="09A92667"/>
    <w:rsid w:val="0A3D295B"/>
    <w:rsid w:val="0AD007F3"/>
    <w:rsid w:val="0E023ED8"/>
    <w:rsid w:val="0E3C619F"/>
    <w:rsid w:val="0F6273CA"/>
    <w:rsid w:val="0F9E0DE4"/>
    <w:rsid w:val="100F38EC"/>
    <w:rsid w:val="11170296"/>
    <w:rsid w:val="12C66037"/>
    <w:rsid w:val="12CD1ABC"/>
    <w:rsid w:val="13471461"/>
    <w:rsid w:val="13B90F01"/>
    <w:rsid w:val="155E4C4D"/>
    <w:rsid w:val="181066D2"/>
    <w:rsid w:val="1C671E73"/>
    <w:rsid w:val="1D322C47"/>
    <w:rsid w:val="1DB4365C"/>
    <w:rsid w:val="23616034"/>
    <w:rsid w:val="23696C97"/>
    <w:rsid w:val="24480FA2"/>
    <w:rsid w:val="25227A45"/>
    <w:rsid w:val="26AC3A6A"/>
    <w:rsid w:val="27B52C11"/>
    <w:rsid w:val="29312005"/>
    <w:rsid w:val="2B9D7E25"/>
    <w:rsid w:val="2C7C7A3B"/>
    <w:rsid w:val="2F364819"/>
    <w:rsid w:val="2FD63906"/>
    <w:rsid w:val="30C45E54"/>
    <w:rsid w:val="3486553E"/>
    <w:rsid w:val="36EB02BD"/>
    <w:rsid w:val="37215DAE"/>
    <w:rsid w:val="38CA40DD"/>
    <w:rsid w:val="38FF502C"/>
    <w:rsid w:val="395F2B56"/>
    <w:rsid w:val="3B287246"/>
    <w:rsid w:val="3BBA0580"/>
    <w:rsid w:val="3BECE841"/>
    <w:rsid w:val="3CDE204C"/>
    <w:rsid w:val="3D363C36"/>
    <w:rsid w:val="3E9C3F6D"/>
    <w:rsid w:val="3FF7797D"/>
    <w:rsid w:val="404E0077"/>
    <w:rsid w:val="426E23B9"/>
    <w:rsid w:val="43611962"/>
    <w:rsid w:val="46690BD8"/>
    <w:rsid w:val="49F70BF1"/>
    <w:rsid w:val="4B4340EE"/>
    <w:rsid w:val="503D507A"/>
    <w:rsid w:val="51FA74D0"/>
    <w:rsid w:val="52AA4A52"/>
    <w:rsid w:val="539D3AD1"/>
    <w:rsid w:val="577D0987"/>
    <w:rsid w:val="588C7568"/>
    <w:rsid w:val="59943D66"/>
    <w:rsid w:val="59E051FD"/>
    <w:rsid w:val="59E6355E"/>
    <w:rsid w:val="5A6279C1"/>
    <w:rsid w:val="5B821531"/>
    <w:rsid w:val="5BFF6039"/>
    <w:rsid w:val="5D76A616"/>
    <w:rsid w:val="5D7F20B9"/>
    <w:rsid w:val="5DAC7D0E"/>
    <w:rsid w:val="5EB91124"/>
    <w:rsid w:val="5F3715C2"/>
    <w:rsid w:val="5F98B5AF"/>
    <w:rsid w:val="5FFE8511"/>
    <w:rsid w:val="5FFEACE2"/>
    <w:rsid w:val="609D5BF6"/>
    <w:rsid w:val="61073070"/>
    <w:rsid w:val="61B9080E"/>
    <w:rsid w:val="61DF3FED"/>
    <w:rsid w:val="642B176B"/>
    <w:rsid w:val="643EE26D"/>
    <w:rsid w:val="64416899"/>
    <w:rsid w:val="656019A0"/>
    <w:rsid w:val="65F242EE"/>
    <w:rsid w:val="66285A13"/>
    <w:rsid w:val="666D7E19"/>
    <w:rsid w:val="68376930"/>
    <w:rsid w:val="68F91E38"/>
    <w:rsid w:val="6B3158B9"/>
    <w:rsid w:val="6BA02A3F"/>
    <w:rsid w:val="6C105349"/>
    <w:rsid w:val="6C1E5A53"/>
    <w:rsid w:val="6F5C41AC"/>
    <w:rsid w:val="6FAF6C78"/>
    <w:rsid w:val="716167CC"/>
    <w:rsid w:val="718A7AD1"/>
    <w:rsid w:val="72A44BC2"/>
    <w:rsid w:val="7317C656"/>
    <w:rsid w:val="734ED73F"/>
    <w:rsid w:val="73C82B32"/>
    <w:rsid w:val="73F94DAE"/>
    <w:rsid w:val="74220495"/>
    <w:rsid w:val="747D1B6F"/>
    <w:rsid w:val="749E5641"/>
    <w:rsid w:val="76271066"/>
    <w:rsid w:val="77FD8BE9"/>
    <w:rsid w:val="78000AED"/>
    <w:rsid w:val="79A9BD3F"/>
    <w:rsid w:val="7B776F12"/>
    <w:rsid w:val="7BFFFDD0"/>
    <w:rsid w:val="7C336E5F"/>
    <w:rsid w:val="7C8D4919"/>
    <w:rsid w:val="7CB43C54"/>
    <w:rsid w:val="7D7A5F86"/>
    <w:rsid w:val="7E4B683A"/>
    <w:rsid w:val="7E5E656D"/>
    <w:rsid w:val="7E8F2BCB"/>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2"/>
    <w:qFormat/>
    <w:uiPriority w:val="0"/>
    <w:pPr>
      <w:jc w:val="left"/>
    </w:pPr>
  </w:style>
  <w:style w:type="paragraph" w:styleId="4">
    <w:name w:val="Body Text"/>
    <w:basedOn w:val="1"/>
    <w:qFormat/>
    <w:uiPriority w:val="0"/>
    <w:pPr>
      <w:spacing w:after="120"/>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20"/>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annotation subject"/>
    <w:basedOn w:val="3"/>
    <w:next w:val="3"/>
    <w:link w:val="23"/>
    <w:qFormat/>
    <w:uiPriority w:val="0"/>
    <w:rPr>
      <w:b/>
      <w:bCs/>
    </w:rPr>
  </w:style>
  <w:style w:type="paragraph" w:styleId="12">
    <w:name w:val="Body Text First Indent"/>
    <w:basedOn w:val="4"/>
    <w:qFormat/>
    <w:uiPriority w:val="0"/>
    <w:pPr>
      <w:spacing w:after="0"/>
      <w:ind w:firstLine="200" w:firstLineChars="200"/>
    </w:pPr>
  </w:style>
  <w:style w:type="paragraph" w:styleId="13">
    <w:name w:val="Body Text First Indent 2"/>
    <w:basedOn w:val="5"/>
    <w:qFormat/>
    <w:uiPriority w:val="0"/>
    <w:pPr>
      <w:ind w:firstLine="420" w:firstLineChars="200"/>
    </w:p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character" w:customStyle="1" w:styleId="18">
    <w:name w:val="fontstyle01"/>
    <w:qFormat/>
    <w:uiPriority w:val="0"/>
    <w:rPr>
      <w:rFonts w:ascii="仿宋_GB2312" w:hAnsi="仿宋_GB2312" w:eastAsia="仿宋_GB2312" w:cs="仿宋_GB2312"/>
      <w:color w:val="000000"/>
      <w:sz w:val="32"/>
      <w:szCs w:val="32"/>
    </w:rPr>
  </w:style>
  <w:style w:type="paragraph" w:customStyle="1" w:styleId="19">
    <w:name w:val="闻政-正文段落文字"/>
    <w:basedOn w:val="1"/>
    <w:qFormat/>
    <w:uiPriority w:val="3"/>
    <w:pPr>
      <w:spacing w:line="500" w:lineRule="exact"/>
      <w:ind w:firstLine="200"/>
    </w:pPr>
    <w:rPr>
      <w:kern w:val="0"/>
      <w:szCs w:val="28"/>
    </w:rPr>
  </w:style>
  <w:style w:type="character" w:customStyle="1" w:styleId="20">
    <w:name w:val="批注框文本 字符"/>
    <w:basedOn w:val="15"/>
    <w:link w:val="6"/>
    <w:qFormat/>
    <w:uiPriority w:val="0"/>
    <w:rPr>
      <w:rFonts w:ascii="Times New Roman" w:hAnsi="Times New Roman" w:eastAsia="宋体" w:cs="Times New Roman"/>
      <w:kern w:val="2"/>
      <w:sz w:val="18"/>
      <w:szCs w:val="18"/>
    </w:rPr>
  </w:style>
  <w:style w:type="character" w:customStyle="1" w:styleId="21">
    <w:name w:val="页眉 字符"/>
    <w:basedOn w:val="15"/>
    <w:link w:val="8"/>
    <w:qFormat/>
    <w:uiPriority w:val="0"/>
    <w:rPr>
      <w:rFonts w:ascii="Times New Roman" w:hAnsi="Times New Roman" w:eastAsia="宋体" w:cs="Times New Roman"/>
      <w:kern w:val="2"/>
      <w:sz w:val="18"/>
      <w:szCs w:val="18"/>
    </w:rPr>
  </w:style>
  <w:style w:type="character" w:customStyle="1" w:styleId="22">
    <w:name w:val="批注文字 字符"/>
    <w:basedOn w:val="15"/>
    <w:link w:val="3"/>
    <w:qFormat/>
    <w:uiPriority w:val="0"/>
    <w:rPr>
      <w:rFonts w:ascii="Times New Roman" w:hAnsi="Times New Roman" w:eastAsia="宋体" w:cs="Times New Roman"/>
      <w:kern w:val="2"/>
      <w:sz w:val="21"/>
      <w:szCs w:val="24"/>
    </w:rPr>
  </w:style>
  <w:style w:type="character" w:customStyle="1" w:styleId="23">
    <w:name w:val="批注主题 字符"/>
    <w:basedOn w:val="22"/>
    <w:link w:val="11"/>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34</Pages>
  <Words>12472</Words>
  <Characters>12945</Characters>
  <Lines>58</Lines>
  <Paragraphs>16</Paragraphs>
  <TotalTime>47</TotalTime>
  <ScaleCrop>false</ScaleCrop>
  <LinksUpToDate>false</LinksUpToDate>
  <CharactersWithSpaces>12949</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admin</cp:lastModifiedBy>
  <dcterms:modified xsi:type="dcterms:W3CDTF">2025-03-30T05:51:46Z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4366617FDB3B43BE80379B9D7CBF9682_13</vt:lpwstr>
  </property>
  <property fmtid="{D5CDD505-2E9C-101B-9397-08002B2CF9AE}" pid="4" name="KSOTemplateDocerSaveRecord">
    <vt:lpwstr>eyJoZGlkIjoiZmNiMmRiZDE3ODc3MjlmYjg4ZTMyYWRkZmJlMWYxMDciLCJ1c2VySWQiOiI4OTc2MTE2ODUifQ==</vt:lpwstr>
  </property>
</Properties>
</file>