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E663F6">
      <w:pPr>
        <w:spacing w:line="540" w:lineRule="exact"/>
        <w:jc w:val="center"/>
        <w:rPr>
          <w:rFonts w:eastAsia="华文中宋"/>
          <w:b/>
          <w:color w:val="auto"/>
          <w:kern w:val="0"/>
          <w:sz w:val="52"/>
          <w:szCs w:val="52"/>
        </w:rPr>
      </w:pPr>
      <w:bookmarkStart w:id="5" w:name="_GoBack"/>
    </w:p>
    <w:p w14:paraId="735CBCF4">
      <w:pPr>
        <w:spacing w:line="540" w:lineRule="exact"/>
        <w:rPr>
          <w:rFonts w:eastAsia="华文中宋"/>
          <w:b/>
          <w:color w:val="auto"/>
          <w:kern w:val="0"/>
          <w:sz w:val="52"/>
          <w:szCs w:val="52"/>
        </w:rPr>
      </w:pPr>
    </w:p>
    <w:p w14:paraId="3299F03E">
      <w:pPr>
        <w:spacing w:line="540" w:lineRule="exact"/>
        <w:jc w:val="center"/>
        <w:rPr>
          <w:rFonts w:eastAsia="华文中宋"/>
          <w:b/>
          <w:color w:val="auto"/>
          <w:kern w:val="0"/>
          <w:sz w:val="52"/>
          <w:szCs w:val="52"/>
        </w:rPr>
      </w:pPr>
    </w:p>
    <w:p w14:paraId="6618110C">
      <w:pPr>
        <w:spacing w:line="540" w:lineRule="exact"/>
        <w:jc w:val="center"/>
        <w:rPr>
          <w:rFonts w:eastAsia="华文中宋"/>
          <w:b/>
          <w:color w:val="auto"/>
          <w:kern w:val="0"/>
          <w:sz w:val="52"/>
          <w:szCs w:val="52"/>
        </w:rPr>
      </w:pPr>
    </w:p>
    <w:p w14:paraId="6A88D3B1">
      <w:pPr>
        <w:spacing w:line="540" w:lineRule="exact"/>
        <w:jc w:val="center"/>
        <w:rPr>
          <w:rFonts w:hint="eastAsia" w:ascii="方正小标宋简体" w:hAnsi="方正小标宋简体" w:eastAsia="方正小标宋简体" w:cs="方正小标宋简体"/>
          <w:color w:val="auto"/>
          <w:kern w:val="0"/>
          <w:sz w:val="48"/>
          <w:szCs w:val="48"/>
        </w:rPr>
      </w:pPr>
      <w:r>
        <w:rPr>
          <w:rFonts w:hint="eastAsia" w:ascii="方正小标宋简体" w:hAnsi="方正小标宋简体" w:eastAsia="方正小标宋简体" w:cs="方正小标宋简体"/>
          <w:color w:val="auto"/>
          <w:kern w:val="0"/>
          <w:sz w:val="48"/>
          <w:szCs w:val="48"/>
          <w:highlight w:val="none"/>
          <w:lang w:val="en-US" w:eastAsia="zh-CN"/>
        </w:rPr>
        <w:t>2023年国家和自治区矿山安全生产帮扶指导及监督检查专项</w:t>
      </w:r>
      <w:r>
        <w:rPr>
          <w:rFonts w:hint="eastAsia" w:ascii="方正小标宋简体" w:hAnsi="方正小标宋简体" w:eastAsia="方正小标宋简体" w:cs="方正小标宋简体"/>
          <w:color w:val="auto"/>
          <w:kern w:val="0"/>
          <w:sz w:val="48"/>
          <w:szCs w:val="48"/>
          <w:highlight w:val="none"/>
        </w:rPr>
        <w:t>资金</w:t>
      </w:r>
      <w:r>
        <w:rPr>
          <w:rFonts w:hint="eastAsia" w:ascii="方正小标宋简体" w:hAnsi="方正小标宋简体" w:eastAsia="方正小标宋简体" w:cs="方正小标宋简体"/>
          <w:color w:val="auto"/>
          <w:kern w:val="0"/>
          <w:sz w:val="48"/>
          <w:szCs w:val="48"/>
        </w:rPr>
        <w:t>项目支出绩效评价报告</w:t>
      </w:r>
    </w:p>
    <w:p w14:paraId="362E20D5">
      <w:pPr>
        <w:spacing w:line="540" w:lineRule="exact"/>
        <w:jc w:val="center"/>
        <w:rPr>
          <w:rFonts w:eastAsia="华文中宋"/>
          <w:b/>
          <w:color w:val="auto"/>
          <w:kern w:val="0"/>
          <w:sz w:val="52"/>
          <w:szCs w:val="52"/>
        </w:rPr>
      </w:pPr>
    </w:p>
    <w:p w14:paraId="7421567A">
      <w:pPr>
        <w:spacing w:line="540" w:lineRule="exact"/>
        <w:jc w:val="center"/>
        <w:rPr>
          <w:rFonts w:eastAsia="仿宋_GB2312"/>
          <w:color w:val="auto"/>
          <w:kern w:val="0"/>
          <w:sz w:val="36"/>
          <w:szCs w:val="36"/>
        </w:rPr>
      </w:pPr>
      <w:r>
        <w:rPr>
          <w:rFonts w:eastAsia="仿宋_GB2312"/>
          <w:color w:val="auto"/>
          <w:kern w:val="0"/>
          <w:sz w:val="36"/>
          <w:szCs w:val="36"/>
        </w:rPr>
        <w:t>（202</w:t>
      </w:r>
      <w:r>
        <w:rPr>
          <w:rFonts w:hint="eastAsia" w:eastAsia="仿宋_GB2312"/>
          <w:color w:val="auto"/>
          <w:kern w:val="0"/>
          <w:sz w:val="36"/>
          <w:szCs w:val="36"/>
          <w:lang w:val="en-US" w:eastAsia="zh-CN"/>
        </w:rPr>
        <w:t>3</w:t>
      </w:r>
      <w:r>
        <w:rPr>
          <w:rFonts w:eastAsia="仿宋_GB2312"/>
          <w:color w:val="auto"/>
          <w:kern w:val="0"/>
          <w:sz w:val="36"/>
          <w:szCs w:val="36"/>
        </w:rPr>
        <w:t>年度）</w:t>
      </w:r>
    </w:p>
    <w:p w14:paraId="387A460C">
      <w:pPr>
        <w:spacing w:line="540" w:lineRule="exact"/>
        <w:jc w:val="center"/>
        <w:rPr>
          <w:rFonts w:eastAsia="仿宋_GB2312"/>
          <w:color w:val="auto"/>
          <w:kern w:val="0"/>
          <w:sz w:val="30"/>
          <w:szCs w:val="30"/>
        </w:rPr>
      </w:pPr>
    </w:p>
    <w:p w14:paraId="79987DB6">
      <w:pPr>
        <w:spacing w:line="540" w:lineRule="exact"/>
        <w:jc w:val="center"/>
        <w:rPr>
          <w:rFonts w:eastAsia="仿宋_GB2312"/>
          <w:color w:val="auto"/>
          <w:kern w:val="0"/>
          <w:sz w:val="30"/>
          <w:szCs w:val="30"/>
        </w:rPr>
      </w:pPr>
    </w:p>
    <w:p w14:paraId="5A3D1C8B">
      <w:pPr>
        <w:spacing w:line="540" w:lineRule="exact"/>
        <w:jc w:val="center"/>
        <w:rPr>
          <w:rFonts w:eastAsia="仿宋_GB2312"/>
          <w:color w:val="auto"/>
          <w:kern w:val="0"/>
          <w:sz w:val="30"/>
          <w:szCs w:val="30"/>
        </w:rPr>
      </w:pPr>
    </w:p>
    <w:p w14:paraId="30CBC571">
      <w:pPr>
        <w:pStyle w:val="11"/>
        <w:rPr>
          <w:color w:val="auto"/>
        </w:rPr>
      </w:pPr>
    </w:p>
    <w:p w14:paraId="44BE68B4">
      <w:pPr>
        <w:spacing w:line="540" w:lineRule="exact"/>
        <w:jc w:val="center"/>
        <w:rPr>
          <w:rFonts w:eastAsia="仿宋_GB2312"/>
          <w:color w:val="auto"/>
          <w:kern w:val="0"/>
          <w:sz w:val="30"/>
          <w:szCs w:val="30"/>
        </w:rPr>
      </w:pPr>
    </w:p>
    <w:p w14:paraId="30C08E8A">
      <w:pPr>
        <w:spacing w:line="540" w:lineRule="exact"/>
        <w:rPr>
          <w:rFonts w:eastAsia="仿宋_GB2312"/>
          <w:color w:val="auto"/>
          <w:kern w:val="0"/>
          <w:sz w:val="30"/>
          <w:szCs w:val="30"/>
        </w:rPr>
      </w:pPr>
    </w:p>
    <w:p w14:paraId="6FE44BBF">
      <w:pPr>
        <w:spacing w:line="700" w:lineRule="exact"/>
        <w:ind w:left="2877" w:leftChars="608" w:hanging="1600" w:hangingChars="500"/>
        <w:jc w:val="left"/>
        <w:rPr>
          <w:rFonts w:eastAsia="仿宋_GB2312"/>
          <w:color w:val="auto"/>
          <w:kern w:val="0"/>
          <w:sz w:val="32"/>
          <w:szCs w:val="32"/>
        </w:rPr>
      </w:pPr>
      <w:r>
        <w:rPr>
          <w:rFonts w:eastAsia="仿宋_GB2312"/>
          <w:color w:val="auto"/>
          <w:kern w:val="0"/>
          <w:sz w:val="32"/>
          <w:szCs w:val="32"/>
        </w:rPr>
        <w:t>项目名称：</w:t>
      </w:r>
      <w:r>
        <w:rPr>
          <w:rFonts w:hint="default" w:eastAsia="仿宋_GB2312"/>
          <w:color w:val="auto"/>
          <w:kern w:val="0"/>
          <w:sz w:val="32"/>
          <w:szCs w:val="32"/>
          <w:lang w:val="en-US" w:eastAsia="zh-CN"/>
        </w:rPr>
        <w:t>2023年国家和自治区矿山安全生产帮扶指导及监督检查</w:t>
      </w:r>
    </w:p>
    <w:p w14:paraId="68FC192D">
      <w:pPr>
        <w:spacing w:line="700" w:lineRule="exact"/>
        <w:ind w:firstLine="1280" w:firstLineChars="400"/>
        <w:jc w:val="left"/>
        <w:rPr>
          <w:rFonts w:hint="default" w:eastAsia="仿宋_GB2312"/>
          <w:color w:val="auto"/>
          <w:kern w:val="0"/>
          <w:sz w:val="32"/>
          <w:szCs w:val="32"/>
          <w:lang w:val="en-US" w:eastAsia="zh-CN"/>
        </w:rPr>
      </w:pPr>
      <w:r>
        <w:rPr>
          <w:rFonts w:eastAsia="仿宋_GB2312"/>
          <w:color w:val="auto"/>
          <w:kern w:val="0"/>
          <w:sz w:val="32"/>
          <w:szCs w:val="32"/>
        </w:rPr>
        <w:t>实施单位（公章）：</w:t>
      </w:r>
      <w:r>
        <w:rPr>
          <w:rFonts w:hint="eastAsia" w:eastAsia="仿宋_GB2312"/>
          <w:color w:val="auto"/>
          <w:kern w:val="0"/>
          <w:sz w:val="32"/>
          <w:szCs w:val="32"/>
          <w:lang w:val="en-US" w:eastAsia="zh-CN"/>
        </w:rPr>
        <w:t>自治区应急管理厅</w:t>
      </w:r>
    </w:p>
    <w:p w14:paraId="19A42E4A">
      <w:pPr>
        <w:spacing w:line="700" w:lineRule="exact"/>
        <w:ind w:firstLine="1280" w:firstLineChars="400"/>
        <w:jc w:val="left"/>
        <w:rPr>
          <w:rFonts w:hint="default" w:eastAsia="仿宋_GB2312"/>
          <w:color w:val="auto"/>
          <w:kern w:val="0"/>
          <w:sz w:val="32"/>
          <w:szCs w:val="32"/>
          <w:lang w:val="en-US" w:eastAsia="zh-CN"/>
        </w:rPr>
      </w:pPr>
      <w:r>
        <w:rPr>
          <w:rFonts w:eastAsia="仿宋_GB2312"/>
          <w:color w:val="auto"/>
          <w:kern w:val="0"/>
          <w:sz w:val="32"/>
          <w:szCs w:val="32"/>
        </w:rPr>
        <w:t>主管部门（公章）：</w:t>
      </w:r>
      <w:r>
        <w:rPr>
          <w:rFonts w:hint="eastAsia" w:eastAsia="仿宋_GB2312"/>
          <w:color w:val="auto"/>
          <w:kern w:val="0"/>
          <w:sz w:val="32"/>
          <w:szCs w:val="32"/>
          <w:lang w:val="en-US" w:eastAsia="zh-CN"/>
        </w:rPr>
        <w:t>自治区应急管理厅</w:t>
      </w:r>
    </w:p>
    <w:p w14:paraId="63F0BD0E">
      <w:pPr>
        <w:spacing w:line="700" w:lineRule="exact"/>
        <w:ind w:firstLine="1280" w:firstLineChars="400"/>
        <w:jc w:val="left"/>
        <w:rPr>
          <w:rFonts w:hint="eastAsia" w:eastAsia="仿宋_GB2312"/>
          <w:color w:val="auto"/>
          <w:kern w:val="0"/>
          <w:sz w:val="32"/>
          <w:szCs w:val="32"/>
          <w:lang w:eastAsia="zh-CN"/>
        </w:rPr>
      </w:pPr>
      <w:r>
        <w:rPr>
          <w:rFonts w:eastAsia="仿宋_GB2312"/>
          <w:color w:val="auto"/>
          <w:kern w:val="0"/>
          <w:sz w:val="32"/>
          <w:szCs w:val="32"/>
        </w:rPr>
        <w:t>项目负责人（签章）：</w:t>
      </w:r>
      <w:r>
        <w:rPr>
          <w:rFonts w:hint="eastAsia" w:eastAsia="仿宋_GB2312"/>
          <w:color w:val="auto"/>
          <w:kern w:val="0"/>
          <w:sz w:val="32"/>
          <w:szCs w:val="32"/>
          <w:highlight w:val="none"/>
          <w:lang w:val="en-US" w:eastAsia="zh-CN"/>
        </w:rPr>
        <w:t>孙强</w:t>
      </w:r>
    </w:p>
    <w:p w14:paraId="07177273">
      <w:pPr>
        <w:spacing w:line="700" w:lineRule="exact"/>
        <w:ind w:firstLine="1280" w:firstLineChars="400"/>
        <w:jc w:val="left"/>
        <w:rPr>
          <w:rStyle w:val="17"/>
          <w:rFonts w:eastAsia="黑体"/>
          <w:b w:val="0"/>
          <w:color w:val="auto"/>
          <w:spacing w:val="-4"/>
          <w:sz w:val="32"/>
          <w:szCs w:val="32"/>
        </w:rPr>
      </w:pPr>
      <w:r>
        <w:rPr>
          <w:rFonts w:eastAsia="仿宋_GB2312"/>
          <w:color w:val="auto"/>
          <w:kern w:val="0"/>
          <w:sz w:val="32"/>
          <w:szCs w:val="32"/>
        </w:rPr>
        <w:t>填报时间：</w:t>
      </w:r>
      <w:r>
        <w:rPr>
          <w:rFonts w:hint="eastAsia" w:eastAsia="仿宋_GB2312"/>
          <w:color w:val="auto"/>
          <w:kern w:val="0"/>
          <w:sz w:val="32"/>
          <w:szCs w:val="32"/>
          <w:lang w:val="en-US" w:eastAsia="zh-CN"/>
        </w:rPr>
        <w:t>2024</w:t>
      </w:r>
      <w:r>
        <w:rPr>
          <w:rFonts w:eastAsia="仿宋_GB2312"/>
          <w:color w:val="auto"/>
          <w:kern w:val="0"/>
          <w:sz w:val="32"/>
          <w:szCs w:val="32"/>
        </w:rPr>
        <w:t>年</w:t>
      </w:r>
      <w:r>
        <w:rPr>
          <w:rFonts w:hint="eastAsia" w:eastAsia="仿宋_GB2312"/>
          <w:color w:val="auto"/>
          <w:kern w:val="0"/>
          <w:sz w:val="32"/>
          <w:szCs w:val="32"/>
          <w:lang w:val="en-US" w:eastAsia="zh-CN"/>
        </w:rPr>
        <w:t>3</w:t>
      </w:r>
      <w:r>
        <w:rPr>
          <w:rFonts w:eastAsia="仿宋_GB2312"/>
          <w:color w:val="auto"/>
          <w:kern w:val="0"/>
          <w:sz w:val="32"/>
          <w:szCs w:val="32"/>
        </w:rPr>
        <w:t>月</w:t>
      </w:r>
      <w:r>
        <w:rPr>
          <w:rFonts w:hint="eastAsia" w:eastAsia="仿宋_GB2312"/>
          <w:color w:val="auto"/>
          <w:kern w:val="0"/>
          <w:sz w:val="32"/>
          <w:szCs w:val="32"/>
          <w:highlight w:val="none"/>
          <w:lang w:val="en-US" w:eastAsia="zh-CN"/>
        </w:rPr>
        <w:t>15</w:t>
      </w:r>
      <w:r>
        <w:rPr>
          <w:rFonts w:eastAsia="仿宋_GB2312"/>
          <w:color w:val="auto"/>
          <w:kern w:val="0"/>
          <w:sz w:val="32"/>
          <w:szCs w:val="32"/>
        </w:rPr>
        <w:t>日</w:t>
      </w:r>
    </w:p>
    <w:p w14:paraId="1472F6C0">
      <w:pPr>
        <w:spacing w:line="560" w:lineRule="exact"/>
        <w:ind w:firstLine="640" w:firstLineChars="200"/>
        <w:rPr>
          <w:rFonts w:eastAsia="黑体"/>
          <w:bCs/>
          <w:color w:val="auto"/>
          <w:sz w:val="32"/>
          <w:szCs w:val="32"/>
        </w:rPr>
        <w:sectPr>
          <w:pgSz w:w="11906" w:h="16838"/>
          <w:pgMar w:top="1440" w:right="1558" w:bottom="1440" w:left="1800" w:header="851" w:footer="992" w:gutter="0"/>
          <w:cols w:space="425" w:num="1"/>
          <w:docGrid w:type="lines" w:linePitch="312" w:charSpace="0"/>
        </w:sectPr>
      </w:pPr>
    </w:p>
    <w:p w14:paraId="09104225">
      <w:pPr>
        <w:spacing w:line="560" w:lineRule="exact"/>
        <w:ind w:firstLine="640" w:firstLineChars="200"/>
        <w:rPr>
          <w:rFonts w:eastAsia="黑体"/>
          <w:bCs/>
          <w:color w:val="auto"/>
          <w:sz w:val="32"/>
          <w:szCs w:val="32"/>
        </w:rPr>
      </w:pPr>
      <w:r>
        <w:rPr>
          <w:rFonts w:eastAsia="黑体"/>
          <w:bCs/>
          <w:color w:val="auto"/>
          <w:sz w:val="32"/>
          <w:szCs w:val="32"/>
        </w:rPr>
        <w:t>一、基本情况</w:t>
      </w:r>
    </w:p>
    <w:p w14:paraId="35FBF232">
      <w:pPr>
        <w:spacing w:line="560" w:lineRule="exact"/>
        <w:ind w:firstLine="640" w:firstLineChars="200"/>
        <w:rPr>
          <w:rFonts w:eastAsia="楷体_GB2312"/>
          <w:b w:val="0"/>
          <w:bCs w:val="0"/>
          <w:color w:val="auto"/>
          <w:sz w:val="32"/>
          <w:szCs w:val="32"/>
        </w:rPr>
      </w:pPr>
      <w:r>
        <w:rPr>
          <w:rFonts w:eastAsia="楷体_GB2312"/>
          <w:b w:val="0"/>
          <w:bCs w:val="0"/>
          <w:color w:val="auto"/>
          <w:sz w:val="32"/>
          <w:szCs w:val="32"/>
        </w:rPr>
        <w:t>（一）项目概况</w:t>
      </w:r>
    </w:p>
    <w:p w14:paraId="20DD8E51">
      <w:pPr>
        <w:spacing w:line="560" w:lineRule="exact"/>
        <w:ind w:firstLine="640" w:firstLineChars="200"/>
        <w:rPr>
          <w:rFonts w:hint="default" w:ascii="Times New Roman" w:hAnsi="Times New Roman" w:eastAsia="楷体_GB2312" w:cs="Times New Roman"/>
          <w:b w:val="0"/>
          <w:bCs w:val="0"/>
          <w:color w:val="auto"/>
          <w:sz w:val="32"/>
          <w:szCs w:val="32"/>
        </w:rPr>
      </w:pPr>
      <w:r>
        <w:rPr>
          <w:rFonts w:hint="default" w:ascii="Times New Roman" w:hAnsi="Times New Roman" w:eastAsia="楷体_GB2312" w:cs="Times New Roman"/>
          <w:b w:val="0"/>
          <w:bCs w:val="0"/>
          <w:color w:val="auto"/>
          <w:sz w:val="32"/>
          <w:szCs w:val="32"/>
        </w:rPr>
        <w:t>1</w:t>
      </w:r>
      <w:r>
        <w:rPr>
          <w:rFonts w:hint="eastAsia" w:ascii="Times New Roman" w:hAnsi="Times New Roman" w:eastAsia="楷体_GB2312" w:cs="Times New Roman"/>
          <w:b w:val="0"/>
          <w:bCs w:val="0"/>
          <w:color w:val="auto"/>
          <w:sz w:val="32"/>
          <w:szCs w:val="32"/>
          <w:lang w:val="en-US" w:eastAsia="zh-CN"/>
        </w:rPr>
        <w:t>.</w:t>
      </w:r>
      <w:r>
        <w:rPr>
          <w:rFonts w:hint="default" w:ascii="Times New Roman" w:hAnsi="Times New Roman" w:eastAsia="楷体_GB2312" w:cs="Times New Roman"/>
          <w:b w:val="0"/>
          <w:bCs w:val="0"/>
          <w:color w:val="auto"/>
          <w:sz w:val="32"/>
          <w:szCs w:val="32"/>
        </w:rPr>
        <w:t>项目背景</w:t>
      </w:r>
    </w:p>
    <w:p w14:paraId="1D487D3E">
      <w:pPr>
        <w:spacing w:line="560" w:lineRule="exact"/>
        <w:ind w:firstLine="640" w:firstLineChars="200"/>
        <w:rPr>
          <w:rStyle w:val="17"/>
          <w:rFonts w:hint="eastAsia" w:eastAsia="黑体"/>
          <w:b w:val="0"/>
          <w:bCs/>
          <w:color w:val="auto"/>
          <w:spacing w:val="-4"/>
          <w:sz w:val="32"/>
          <w:szCs w:val="32"/>
          <w:highlight w:val="yellow"/>
          <w:lang w:eastAsia="zh-CN"/>
        </w:rPr>
      </w:pPr>
      <w:r>
        <w:rPr>
          <w:rFonts w:hint="default" w:ascii="Times New Roman" w:hAnsi="Times New Roman" w:eastAsia="仿宋_GB2312" w:cs="Times New Roman"/>
          <w:color w:val="auto"/>
          <w:sz w:val="32"/>
          <w:szCs w:val="32"/>
          <w:highlight w:val="none"/>
          <w:lang w:bidi="ar"/>
        </w:rPr>
        <w:t>为深入贯彻落实自治区党委马兴瑞书记与应急管理部王祥喜部长关于国家帮扶新疆矿山安全工作的安排部署</w:t>
      </w:r>
      <w:r>
        <w:rPr>
          <w:rFonts w:hint="default" w:ascii="Times New Roman" w:hAnsi="Times New Roman" w:eastAsia="仿宋_GB2312" w:cs="Times New Roman"/>
          <w:color w:val="auto"/>
          <w:sz w:val="32"/>
          <w:szCs w:val="32"/>
          <w:highlight w:val="none"/>
          <w:lang w:eastAsia="zh-CN" w:bidi="ar"/>
        </w:rPr>
        <w:t>，</w:t>
      </w:r>
      <w:r>
        <w:rPr>
          <w:rFonts w:hint="default" w:ascii="Times New Roman" w:hAnsi="Times New Roman" w:eastAsia="仿宋_GB2312" w:cs="Times New Roman"/>
          <w:color w:val="auto"/>
          <w:sz w:val="32"/>
          <w:szCs w:val="32"/>
          <w:highlight w:val="none"/>
          <w:lang w:val="en-US" w:eastAsia="zh-CN" w:bidi="ar"/>
        </w:rPr>
        <w:t>按照《</w:t>
      </w:r>
      <w:r>
        <w:rPr>
          <w:rFonts w:hint="default" w:ascii="Times New Roman" w:hAnsi="Times New Roman" w:eastAsia="仿宋_GB2312" w:cs="Times New Roman"/>
          <w:color w:val="auto"/>
          <w:sz w:val="32"/>
          <w:szCs w:val="32"/>
          <w:highlight w:val="none"/>
          <w:lang w:bidi="ar"/>
        </w:rPr>
        <w:t>国务院安委会办公室对新疆维吾尔自治区矿山安全生产帮扶指导工作方案</w:t>
      </w:r>
      <w:r>
        <w:rPr>
          <w:rFonts w:hint="default" w:ascii="Times New Roman" w:hAnsi="Times New Roman" w:eastAsia="仿宋_GB2312" w:cs="Times New Roman"/>
          <w:color w:val="auto"/>
          <w:sz w:val="32"/>
          <w:szCs w:val="32"/>
          <w:highlight w:val="none"/>
          <w:lang w:val="en-US" w:eastAsia="zh-CN" w:bidi="ar"/>
        </w:rPr>
        <w:t>》和《国家矿山安全监察局综合司关于商请派员赴新疆维吾尔自治区开展矿山安全生产帮扶指导的函》的相关要求，</w:t>
      </w:r>
      <w:r>
        <w:rPr>
          <w:rFonts w:hint="default" w:ascii="Times New Roman" w:hAnsi="Times New Roman" w:eastAsia="仿宋_GB2312" w:cs="Times New Roman"/>
          <w:color w:val="auto"/>
          <w:sz w:val="32"/>
          <w:szCs w:val="32"/>
          <w:highlight w:val="none"/>
          <w:lang w:bidi="ar"/>
        </w:rPr>
        <w:t>国务院安委会办公室定于2023年2月至6月，对新疆矿山安全生产工作进行帮扶指导。</w:t>
      </w:r>
    </w:p>
    <w:p w14:paraId="39603C5B">
      <w:pPr>
        <w:spacing w:line="560" w:lineRule="exact"/>
        <w:ind w:firstLine="640" w:firstLineChars="200"/>
        <w:rPr>
          <w:rFonts w:hint="default" w:ascii="Times New Roman" w:hAnsi="Times New Roman" w:eastAsia="楷体_GB2312" w:cs="Times New Roman"/>
          <w:b w:val="0"/>
          <w:bCs w:val="0"/>
          <w:color w:val="auto"/>
          <w:sz w:val="32"/>
          <w:szCs w:val="32"/>
        </w:rPr>
      </w:pPr>
      <w:r>
        <w:rPr>
          <w:rFonts w:hint="eastAsia" w:ascii="Times New Roman" w:hAnsi="Times New Roman" w:eastAsia="楷体_GB2312" w:cs="Times New Roman"/>
          <w:b w:val="0"/>
          <w:bCs w:val="0"/>
          <w:color w:val="auto"/>
          <w:sz w:val="32"/>
          <w:szCs w:val="32"/>
          <w:lang w:val="en-US" w:eastAsia="zh-CN"/>
        </w:rPr>
        <w:t>2.</w:t>
      </w:r>
      <w:r>
        <w:rPr>
          <w:rFonts w:hint="default" w:ascii="Times New Roman" w:hAnsi="Times New Roman" w:eastAsia="楷体_GB2312" w:cs="Times New Roman"/>
          <w:b w:val="0"/>
          <w:bCs w:val="0"/>
          <w:color w:val="auto"/>
          <w:sz w:val="32"/>
          <w:szCs w:val="32"/>
        </w:rPr>
        <w:t>项目主要内容：</w:t>
      </w:r>
    </w:p>
    <w:p w14:paraId="7B9E75C6">
      <w:pPr>
        <w:spacing w:line="560" w:lineRule="exact"/>
        <w:ind w:firstLine="640" w:firstLineChars="20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项目主要内容：</w:t>
      </w:r>
    </w:p>
    <w:p w14:paraId="5EF63D7A">
      <w:pPr>
        <w:spacing w:line="560" w:lineRule="exact"/>
        <w:ind w:firstLine="640" w:firstLineChars="200"/>
        <w:rPr>
          <w:rFonts w:hint="eastAsia" w:eastAsia="黑体"/>
          <w:color w:val="auto"/>
          <w:highlight w:val="yellow"/>
          <w:lang w:eastAsia="zh-CN"/>
        </w:rPr>
      </w:pPr>
      <w:r>
        <w:rPr>
          <w:rFonts w:hint="default" w:ascii="Times New Roman" w:hAnsi="Times New Roman" w:eastAsia="仿宋_GB2312"/>
          <w:color w:val="auto"/>
          <w:sz w:val="32"/>
          <w:szCs w:val="32"/>
          <w:highlight w:val="none"/>
          <w:lang w:bidi="ar"/>
        </w:rPr>
        <w:t>按照新疆维吾尔自治区党委、政府与应急管理部党委视频会商精神，为深化落实国务院安委会办公室和应急管理部2023年重点工作总体部署，突出矿山领域重点难点堵点问题根治，扎实开展安全专项整治，充分借鉴对山东、贵州、云南矿山</w:t>
      </w:r>
      <w:r>
        <w:rPr>
          <w:rFonts w:hint="default" w:ascii="Times New Roman" w:hAnsi="Times New Roman" w:eastAsia="仿宋_GB2312"/>
          <w:color w:val="auto"/>
          <w:sz w:val="32"/>
          <w:szCs w:val="32"/>
          <w:highlight w:val="none"/>
          <w:lang w:eastAsia="zh-CN" w:bidi="ar"/>
        </w:rPr>
        <w:t>安全督导</w:t>
      </w:r>
      <w:r>
        <w:rPr>
          <w:rFonts w:hint="default" w:ascii="Times New Roman" w:hAnsi="Times New Roman" w:eastAsia="仿宋_GB2312"/>
          <w:color w:val="auto"/>
          <w:sz w:val="32"/>
          <w:szCs w:val="32"/>
          <w:highlight w:val="none"/>
          <w:lang w:bidi="ar"/>
        </w:rPr>
        <w:t>帮扶的好经验好做法，抽调优秀矿山安全监察</w:t>
      </w:r>
      <w:r>
        <w:rPr>
          <w:rFonts w:hint="default" w:ascii="Times New Roman" w:hAnsi="Times New Roman" w:eastAsia="仿宋_GB2312"/>
          <w:color w:val="auto"/>
          <w:sz w:val="32"/>
          <w:szCs w:val="32"/>
          <w:highlight w:val="none"/>
          <w:lang w:eastAsia="zh-CN" w:bidi="ar"/>
        </w:rPr>
        <w:t>人员</w:t>
      </w:r>
      <w:r>
        <w:rPr>
          <w:rFonts w:hint="default" w:ascii="Times New Roman" w:hAnsi="Times New Roman" w:eastAsia="仿宋_GB2312"/>
          <w:color w:val="auto"/>
          <w:sz w:val="32"/>
          <w:szCs w:val="32"/>
          <w:highlight w:val="none"/>
          <w:lang w:bidi="ar"/>
        </w:rPr>
        <w:t>对部分</w:t>
      </w:r>
      <w:r>
        <w:rPr>
          <w:rFonts w:hint="default" w:ascii="Times New Roman" w:hAnsi="Times New Roman" w:eastAsia="仿宋_GB2312"/>
          <w:color w:val="auto"/>
          <w:sz w:val="32"/>
          <w:szCs w:val="32"/>
          <w:highlight w:val="none"/>
          <w:lang w:eastAsia="zh-CN" w:bidi="ar"/>
        </w:rPr>
        <w:t>地（州、市）</w:t>
      </w:r>
      <w:r>
        <w:rPr>
          <w:rFonts w:hint="default" w:ascii="Times New Roman" w:hAnsi="Times New Roman" w:eastAsia="仿宋_GB2312"/>
          <w:color w:val="auto"/>
          <w:sz w:val="32"/>
          <w:szCs w:val="32"/>
          <w:highlight w:val="none"/>
          <w:lang w:bidi="ar"/>
        </w:rPr>
        <w:t>及其矿山安全监管部门进行检查督导，对部分矿山企业开展解剖式监察，找出问题短板，推动整改落实，选树先进典型，提炼推广可操作、可复制的经验做法。针对新疆维吾尔自治区矿山安全特点</w:t>
      </w:r>
      <w:r>
        <w:rPr>
          <w:rFonts w:hint="default" w:ascii="Times New Roman" w:hAnsi="Times New Roman" w:eastAsia="仿宋_GB2312"/>
          <w:color w:val="auto"/>
          <w:sz w:val="32"/>
          <w:szCs w:val="32"/>
          <w:highlight w:val="none"/>
          <w:lang w:eastAsia="zh-CN" w:bidi="ar"/>
        </w:rPr>
        <w:t>，</w:t>
      </w:r>
      <w:r>
        <w:rPr>
          <w:rFonts w:hint="default" w:ascii="Times New Roman" w:hAnsi="Times New Roman" w:eastAsia="仿宋_GB2312"/>
          <w:color w:val="auto"/>
          <w:sz w:val="32"/>
          <w:szCs w:val="32"/>
          <w:highlight w:val="none"/>
          <w:lang w:bidi="ar"/>
        </w:rPr>
        <w:t>在</w:t>
      </w:r>
      <w:r>
        <w:rPr>
          <w:rFonts w:hint="eastAsia" w:eastAsia="仿宋_GB2312"/>
          <w:color w:val="auto"/>
          <w:sz w:val="32"/>
          <w:szCs w:val="32"/>
          <w:highlight w:val="none"/>
          <w:lang w:val="en-US" w:eastAsia="zh-CN" w:bidi="ar"/>
        </w:rPr>
        <w:t>全国各</w:t>
      </w:r>
      <w:r>
        <w:rPr>
          <w:rFonts w:hint="default" w:ascii="Times New Roman" w:hAnsi="Times New Roman" w:eastAsia="仿宋_GB2312"/>
          <w:color w:val="auto"/>
          <w:sz w:val="32"/>
          <w:szCs w:val="32"/>
          <w:highlight w:val="none"/>
          <w:lang w:bidi="ar"/>
        </w:rPr>
        <w:t>科研院所和国有大型矿山企业选派一批瓦斯、水、火和冲击地压等方面的</w:t>
      </w:r>
      <w:r>
        <w:rPr>
          <w:rFonts w:hint="default" w:ascii="Times New Roman" w:hAnsi="Times New Roman" w:eastAsia="仿宋_GB2312"/>
          <w:color w:val="auto"/>
          <w:sz w:val="32"/>
          <w:szCs w:val="32"/>
          <w:highlight w:val="none"/>
          <w:lang w:eastAsia="zh-CN" w:bidi="ar"/>
        </w:rPr>
        <w:t>煤矿、非煤矿山行业技术</w:t>
      </w:r>
      <w:r>
        <w:rPr>
          <w:rFonts w:hint="default" w:ascii="Times New Roman" w:hAnsi="Times New Roman" w:eastAsia="仿宋_GB2312"/>
          <w:color w:val="auto"/>
          <w:sz w:val="32"/>
          <w:szCs w:val="32"/>
          <w:highlight w:val="none"/>
          <w:lang w:bidi="ar"/>
        </w:rPr>
        <w:t>专家深入矿区指导服务。</w:t>
      </w:r>
      <w:r>
        <w:rPr>
          <w:rFonts w:hint="default" w:eastAsia="仿宋_GB2312"/>
          <w:color w:val="auto"/>
          <w:sz w:val="32"/>
          <w:szCs w:val="32"/>
          <w:highlight w:val="none"/>
          <w:lang w:val="en-US" w:eastAsia="zh-CN" w:bidi="ar"/>
        </w:rPr>
        <w:t>向属地</w:t>
      </w:r>
      <w:r>
        <w:rPr>
          <w:rFonts w:hint="default" w:ascii="Times New Roman" w:hAnsi="Times New Roman" w:eastAsia="仿宋_GB2312"/>
          <w:color w:val="auto"/>
          <w:sz w:val="32"/>
          <w:szCs w:val="32"/>
          <w:highlight w:val="none"/>
          <w:lang w:bidi="ar"/>
        </w:rPr>
        <w:t>政府提出加强矿山安全生产工作的建议，督促整改落实，推动解决根本性、深层次</w:t>
      </w:r>
      <w:r>
        <w:rPr>
          <w:rFonts w:hint="default" w:ascii="Times New Roman" w:hAnsi="Times New Roman" w:eastAsia="仿宋_GB2312"/>
          <w:color w:val="auto"/>
          <w:sz w:val="32"/>
          <w:szCs w:val="32"/>
          <w:highlight w:val="none"/>
          <w:lang w:eastAsia="zh-CN" w:bidi="ar"/>
        </w:rPr>
        <w:t>、</w:t>
      </w:r>
      <w:r>
        <w:rPr>
          <w:rFonts w:hint="default" w:ascii="Times New Roman" w:hAnsi="Times New Roman" w:eastAsia="仿宋_GB2312"/>
          <w:color w:val="auto"/>
          <w:w w:val="100"/>
          <w:sz w:val="32"/>
          <w:szCs w:val="32"/>
          <w:highlight w:val="none"/>
          <w:lang w:eastAsia="zh-CN" w:bidi="ar"/>
        </w:rPr>
        <w:t>“</w:t>
      </w:r>
      <w:r>
        <w:rPr>
          <w:rFonts w:hint="default" w:ascii="Times New Roman" w:hAnsi="Times New Roman" w:eastAsia="仿宋_GB2312"/>
          <w:color w:val="auto"/>
          <w:sz w:val="32"/>
          <w:szCs w:val="32"/>
          <w:highlight w:val="none"/>
          <w:lang w:bidi="ar"/>
        </w:rPr>
        <w:t>老大难</w:t>
      </w:r>
      <w:r>
        <w:rPr>
          <w:rFonts w:hint="default" w:ascii="Times New Roman" w:hAnsi="Times New Roman" w:eastAsia="仿宋_GB2312"/>
          <w:color w:val="auto"/>
          <w:sz w:val="32"/>
          <w:szCs w:val="32"/>
          <w:highlight w:val="none"/>
          <w:lang w:eastAsia="zh-CN" w:bidi="ar"/>
        </w:rPr>
        <w:t>”</w:t>
      </w:r>
      <w:r>
        <w:rPr>
          <w:rFonts w:hint="default" w:ascii="Times New Roman" w:hAnsi="Times New Roman" w:eastAsia="仿宋_GB2312"/>
          <w:color w:val="auto"/>
          <w:sz w:val="32"/>
          <w:szCs w:val="32"/>
          <w:highlight w:val="none"/>
          <w:lang w:bidi="ar"/>
        </w:rPr>
        <w:t>问题。</w:t>
      </w:r>
    </w:p>
    <w:p w14:paraId="746A6D1A">
      <w:pPr>
        <w:spacing w:line="560" w:lineRule="exact"/>
        <w:ind w:firstLine="640" w:firstLineChars="200"/>
        <w:rPr>
          <w:color w:val="auto"/>
        </w:rPr>
      </w:pPr>
      <w:r>
        <w:rPr>
          <w:rFonts w:eastAsia="仿宋_GB2312"/>
          <w:color w:val="auto"/>
          <w:sz w:val="32"/>
          <w:szCs w:val="32"/>
        </w:rPr>
        <w:t>项目实施情况：</w:t>
      </w:r>
    </w:p>
    <w:p w14:paraId="22F4DB22">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bidi="ar"/>
        </w:rPr>
      </w:pPr>
      <w:r>
        <w:rPr>
          <w:rFonts w:hint="eastAsia" w:eastAsia="楷体_GB2312" w:cs="Times New Roman"/>
          <w:color w:val="auto"/>
          <w:sz w:val="32"/>
          <w:szCs w:val="32"/>
          <w:highlight w:val="none"/>
          <w:lang w:val="en-US" w:eastAsia="zh-CN" w:bidi="ar"/>
        </w:rPr>
        <w:t>（1）</w:t>
      </w:r>
      <w:r>
        <w:rPr>
          <w:rFonts w:hint="default" w:ascii="Times New Roman" w:hAnsi="Times New Roman" w:eastAsia="楷体_GB2312" w:cs="Times New Roman"/>
          <w:color w:val="auto"/>
          <w:sz w:val="32"/>
          <w:szCs w:val="32"/>
          <w:highlight w:val="none"/>
          <w:lang w:val="en-US" w:eastAsia="zh-CN" w:bidi="ar"/>
        </w:rPr>
        <w:t>国家帮扶组：</w:t>
      </w:r>
      <w:r>
        <w:rPr>
          <w:rFonts w:hint="default" w:ascii="Times New Roman" w:hAnsi="Times New Roman" w:eastAsia="仿宋_GB2312" w:cs="Times New Roman"/>
          <w:color w:val="auto"/>
          <w:sz w:val="32"/>
          <w:szCs w:val="32"/>
          <w:highlight w:val="none"/>
          <w:lang w:bidi="ar"/>
        </w:rPr>
        <w:t>国家帮扶指导组邀请</w:t>
      </w:r>
      <w:r>
        <w:rPr>
          <w:rFonts w:hint="default" w:ascii="Times New Roman" w:hAnsi="Times New Roman" w:eastAsia="仿宋_GB2312" w:cs="Times New Roman"/>
          <w:color w:val="auto"/>
          <w:sz w:val="32"/>
          <w:szCs w:val="32"/>
          <w:highlight w:val="none"/>
          <w:lang w:val="en-US" w:eastAsia="zh-CN" w:bidi="ar"/>
        </w:rPr>
        <w:t>110余</w:t>
      </w:r>
      <w:r>
        <w:rPr>
          <w:rFonts w:hint="default" w:ascii="Times New Roman" w:hAnsi="Times New Roman" w:eastAsia="仿宋_GB2312" w:cs="Times New Roman"/>
          <w:color w:val="auto"/>
          <w:sz w:val="32"/>
          <w:szCs w:val="32"/>
          <w:highlight w:val="none"/>
          <w:lang w:bidi="ar"/>
        </w:rPr>
        <w:t>名国内矿山行业专家对</w:t>
      </w:r>
      <w:r>
        <w:rPr>
          <w:rFonts w:hint="default" w:ascii="Times New Roman" w:hAnsi="Times New Roman" w:eastAsia="仿宋_GB2312" w:cs="Times New Roman"/>
          <w:color w:val="auto"/>
          <w:sz w:val="32"/>
          <w:szCs w:val="32"/>
          <w:highlight w:val="none"/>
          <w:lang w:val="en-US" w:eastAsia="zh-CN" w:bidi="ar"/>
        </w:rPr>
        <w:t>伊犁州、昌吉州、哈密市三个重点州（市）矿山安全监管部门和矿山企业的帮扶检查，对塔城地区、阿勒泰地区、博州、乌鲁木齐市、吐鲁番市、巴州、阿克苏地区、喀什地区、和田地区和克州等10个地（州、市）延伸示范检查。</w:t>
      </w:r>
    </w:p>
    <w:p w14:paraId="317BC713">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bidi="ar"/>
        </w:rPr>
      </w:pPr>
      <w:r>
        <w:rPr>
          <w:rFonts w:hint="eastAsia" w:eastAsia="楷体_GB2312" w:cs="Times New Roman"/>
          <w:color w:val="auto"/>
          <w:sz w:val="32"/>
          <w:szCs w:val="32"/>
          <w:highlight w:val="none"/>
          <w:lang w:val="en-US" w:eastAsia="zh-CN" w:bidi="ar"/>
        </w:rPr>
        <w:t>（2）</w:t>
      </w:r>
      <w:r>
        <w:rPr>
          <w:rFonts w:hint="default" w:ascii="Times New Roman" w:hAnsi="Times New Roman" w:eastAsia="楷体_GB2312" w:cs="Times New Roman"/>
          <w:color w:val="auto"/>
          <w:sz w:val="32"/>
          <w:szCs w:val="32"/>
          <w:highlight w:val="none"/>
          <w:lang w:val="en-US" w:eastAsia="zh-CN" w:bidi="ar"/>
        </w:rPr>
        <w:t>自治区帮扶组：</w:t>
      </w:r>
      <w:r>
        <w:rPr>
          <w:rFonts w:hint="default" w:ascii="Times New Roman" w:hAnsi="Times New Roman" w:eastAsia="仿宋_GB2312" w:cs="Times New Roman"/>
          <w:color w:val="auto"/>
          <w:sz w:val="32"/>
          <w:szCs w:val="32"/>
          <w:highlight w:val="none"/>
          <w:lang w:val="en-US" w:eastAsia="zh-CN" w:bidi="ar"/>
        </w:rPr>
        <w:t>自治区安委会办公室从各级矿山安全监管人员、科研院所和国有大型矿山企业选派矿山安全生产专家，由自治区应急管理厅会同国家矿山安全监察局新疆局组成自治区矿山安全帮扶指导工作组，对乌鲁木齐市、塔城地区、阿勒泰地区</w:t>
      </w:r>
      <w:r>
        <w:rPr>
          <w:rFonts w:hint="eastAsia" w:eastAsia="仿宋_GB2312" w:cs="Times New Roman"/>
          <w:color w:val="auto"/>
          <w:sz w:val="32"/>
          <w:szCs w:val="32"/>
          <w:highlight w:val="none"/>
          <w:lang w:val="en-US" w:eastAsia="zh-CN" w:bidi="ar"/>
        </w:rPr>
        <w:t>、</w:t>
      </w:r>
      <w:r>
        <w:rPr>
          <w:rFonts w:hint="default" w:ascii="Times New Roman" w:hAnsi="Times New Roman" w:eastAsia="仿宋_GB2312" w:cs="Times New Roman"/>
          <w:color w:val="auto"/>
          <w:sz w:val="32"/>
          <w:szCs w:val="32"/>
          <w:highlight w:val="none"/>
          <w:lang w:val="en-US" w:eastAsia="zh-CN" w:bidi="ar"/>
        </w:rPr>
        <w:t>博州、吐鲁番市、巴州、阿克苏地区、克州、喀什地区、和田地区等地、县两级政府和部门履行矿山安全监管职责检查指导，对正常生产建设煤矿、金属与非金属矿山检查，对长期停产停建煤矿、金属与非金属矿山巡查。</w:t>
      </w:r>
    </w:p>
    <w:p w14:paraId="7FF9081A">
      <w:pPr>
        <w:keepNext w:val="0"/>
        <w:keepLines w:val="0"/>
        <w:pageBreakBefore w:val="0"/>
        <w:widowControl w:val="0"/>
        <w:kinsoku/>
        <w:wordWrap/>
        <w:overflowPunct/>
        <w:topLinePunct w:val="0"/>
        <w:autoSpaceDE/>
        <w:autoSpaceDN/>
        <w:bidi w:val="0"/>
        <w:adjustRightInd/>
        <w:spacing w:line="560" w:lineRule="exact"/>
        <w:ind w:firstLine="644" w:firstLineChars="200"/>
        <w:textAlignment w:val="auto"/>
        <w:rPr>
          <w:rFonts w:hint="default" w:ascii="Times New Roman" w:hAnsi="Times New Roman" w:eastAsia="仿宋_GB2312" w:cs="Times New Roman"/>
          <w:color w:val="auto"/>
          <w:spacing w:val="1"/>
          <w:sz w:val="32"/>
          <w:szCs w:val="32"/>
          <w:highlight w:val="none"/>
          <w:lang w:val="en-US" w:eastAsia="zh-CN"/>
        </w:rPr>
      </w:pPr>
      <w:r>
        <w:rPr>
          <w:rFonts w:hint="eastAsia" w:eastAsia="楷体_GB2312" w:cs="Times New Roman"/>
          <w:color w:val="auto"/>
          <w:spacing w:val="1"/>
          <w:sz w:val="32"/>
          <w:szCs w:val="32"/>
          <w:highlight w:val="none"/>
          <w:lang w:val="en-US" w:eastAsia="zh-CN"/>
        </w:rPr>
        <w:t>（3）</w:t>
      </w:r>
      <w:r>
        <w:rPr>
          <w:rFonts w:hint="default" w:ascii="Times New Roman" w:hAnsi="Times New Roman" w:eastAsia="楷体_GB2312" w:cs="Times New Roman"/>
          <w:color w:val="auto"/>
          <w:spacing w:val="1"/>
          <w:sz w:val="32"/>
          <w:szCs w:val="32"/>
          <w:highlight w:val="none"/>
          <w:lang w:val="en-US" w:eastAsia="zh-CN"/>
        </w:rPr>
        <w:t>跟班学习和培训。</w:t>
      </w:r>
      <w:r>
        <w:rPr>
          <w:rFonts w:hint="default" w:ascii="Times New Roman" w:hAnsi="Times New Roman" w:eastAsia="仿宋_GB2312" w:cs="Times New Roman"/>
          <w:color w:val="auto"/>
          <w:spacing w:val="1"/>
          <w:sz w:val="32"/>
          <w:szCs w:val="32"/>
          <w:highlight w:val="none"/>
          <w:lang w:val="en-US" w:eastAsia="zh-CN"/>
        </w:rPr>
        <w:t>自治区应急管理厅从各级矿山安全监管部门选派监管人员，</w:t>
      </w:r>
      <w:r>
        <w:rPr>
          <w:rFonts w:hint="default" w:ascii="Times New Roman" w:hAnsi="Times New Roman" w:eastAsia="仿宋_GB2312" w:cs="Times New Roman"/>
          <w:color w:val="auto"/>
          <w:sz w:val="32"/>
          <w:szCs w:val="32"/>
          <w:highlight w:val="none"/>
          <w:lang w:val="en-US" w:eastAsia="zh-CN" w:bidi="ar"/>
        </w:rPr>
        <w:t>采取跟班学习的方式参与延伸示范检查，提升监管能力水平。并邀请国家矿山帮扶指导组的优秀监察干部和具有丰富经验的行业领域专家利用周末休息时间</w:t>
      </w:r>
      <w:r>
        <w:rPr>
          <w:rFonts w:hint="default" w:ascii="Times New Roman" w:hAnsi="Times New Roman" w:eastAsia="仿宋_GB2312" w:cs="Times New Roman"/>
          <w:color w:val="auto"/>
          <w:spacing w:val="1"/>
          <w:sz w:val="32"/>
          <w:szCs w:val="32"/>
          <w:highlight w:val="none"/>
          <w:lang w:val="en-US" w:eastAsia="zh-CN"/>
        </w:rPr>
        <w:t>对全区矿山安全监管人员，就矿山安全法律法规、矿山安全重大风险辨识管控、矿山灾害防治、矿山重大隐患判定、矿山安全诊断、矿山智能化建设进行专题辅导。</w:t>
      </w:r>
    </w:p>
    <w:p w14:paraId="15B65B30">
      <w:pPr>
        <w:spacing w:line="560" w:lineRule="exact"/>
        <w:ind w:firstLine="644" w:firstLineChars="200"/>
        <w:rPr>
          <w:rFonts w:eastAsia="仿宋_GB2312"/>
          <w:b/>
          <w:bCs/>
          <w:color w:val="auto"/>
          <w:sz w:val="32"/>
          <w:szCs w:val="32"/>
        </w:rPr>
      </w:pPr>
      <w:r>
        <w:rPr>
          <w:rFonts w:hint="default" w:ascii="Times New Roman" w:hAnsi="Times New Roman" w:eastAsia="楷体_GB2312" w:cs="Times New Roman"/>
          <w:color w:val="auto"/>
          <w:spacing w:val="1"/>
          <w:sz w:val="32"/>
          <w:szCs w:val="32"/>
          <w:highlight w:val="none"/>
          <w:lang w:val="en-US" w:eastAsia="zh-CN"/>
        </w:rPr>
        <w:t>（4）问题隐患</w:t>
      </w:r>
      <w:r>
        <w:rPr>
          <w:rFonts w:hint="eastAsia" w:ascii="楷体_GB2312" w:hAnsi="楷体_GB2312" w:eastAsia="楷体_GB2312" w:cs="楷体_GB2312"/>
          <w:color w:val="auto"/>
          <w:spacing w:val="1"/>
          <w:sz w:val="32"/>
          <w:szCs w:val="32"/>
          <w:highlight w:val="none"/>
          <w:lang w:val="en-US" w:eastAsia="zh-CN"/>
        </w:rPr>
        <w:t>“回头看”</w:t>
      </w:r>
      <w:r>
        <w:rPr>
          <w:rFonts w:hint="default" w:ascii="Times New Roman" w:hAnsi="Times New Roman" w:eastAsia="楷体_GB2312" w:cs="Times New Roman"/>
          <w:color w:val="auto"/>
          <w:spacing w:val="1"/>
          <w:sz w:val="32"/>
          <w:szCs w:val="32"/>
          <w:highlight w:val="none"/>
          <w:lang w:val="en-US" w:eastAsia="zh-CN"/>
        </w:rPr>
        <w:t>：</w:t>
      </w:r>
      <w:r>
        <w:rPr>
          <w:rFonts w:hint="default" w:ascii="Times New Roman" w:hAnsi="Times New Roman" w:eastAsia="仿宋_GB2312" w:cs="Times New Roman"/>
          <w:color w:val="auto"/>
          <w:spacing w:val="1"/>
          <w:sz w:val="32"/>
          <w:szCs w:val="32"/>
          <w:highlight w:val="none"/>
          <w:lang w:val="en-US" w:eastAsia="zh-CN"/>
        </w:rPr>
        <w:t>按照自治区党委、政府统一部署，全面做好国家帮扶指</w:t>
      </w:r>
      <w:r>
        <w:rPr>
          <w:rFonts w:hint="default" w:ascii="仿宋_GB2312" w:hAnsi="仿宋_GB2312" w:eastAsia="仿宋_GB2312" w:cs="仿宋_GB2312"/>
          <w:color w:val="auto"/>
          <w:spacing w:val="1"/>
          <w:sz w:val="32"/>
          <w:szCs w:val="32"/>
          <w:highlight w:val="none"/>
          <w:lang w:val="en-US" w:eastAsia="zh-CN"/>
        </w:rPr>
        <w:t>导“后半篇”</w:t>
      </w:r>
      <w:r>
        <w:rPr>
          <w:rFonts w:hint="default" w:ascii="Times New Roman" w:hAnsi="Times New Roman" w:eastAsia="仿宋_GB2312" w:cs="Times New Roman"/>
          <w:color w:val="auto"/>
          <w:spacing w:val="1"/>
          <w:sz w:val="32"/>
          <w:szCs w:val="32"/>
          <w:highlight w:val="none"/>
          <w:lang w:val="en-US" w:eastAsia="zh-CN"/>
        </w:rPr>
        <w:t>文章，确保国家帮扶检查发现问题隐患，特别是重大隐患，100%从严从实整改到位，实现问题隐患闭环管理，最大限度消除安全生产风险隐患，自治区应急管理厅按照国家帮扶检查的标准和模式，组织对</w:t>
      </w:r>
      <w:r>
        <w:rPr>
          <w:rFonts w:hint="eastAsia" w:eastAsia="仿宋_GB2312" w:cs="Times New Roman"/>
          <w:color w:val="auto"/>
          <w:spacing w:val="1"/>
          <w:sz w:val="32"/>
          <w:szCs w:val="32"/>
          <w:highlight w:val="none"/>
          <w:lang w:val="en-US" w:eastAsia="zh-CN"/>
        </w:rPr>
        <w:t>国家和自治区帮扶指导检查的</w:t>
      </w:r>
      <w:r>
        <w:rPr>
          <w:rFonts w:hint="default" w:ascii="Times New Roman" w:hAnsi="Times New Roman" w:eastAsia="仿宋_GB2312" w:cs="Times New Roman"/>
          <w:color w:val="auto"/>
          <w:spacing w:val="1"/>
          <w:sz w:val="32"/>
          <w:szCs w:val="32"/>
          <w:highlight w:val="none"/>
          <w:lang w:val="en-US" w:eastAsia="zh-CN"/>
        </w:rPr>
        <w:t>地、县政府，</w:t>
      </w:r>
      <w:r>
        <w:rPr>
          <w:rFonts w:hint="eastAsia" w:eastAsia="仿宋_GB2312" w:cs="Times New Roman"/>
          <w:color w:val="auto"/>
          <w:spacing w:val="1"/>
          <w:sz w:val="32"/>
          <w:szCs w:val="32"/>
          <w:highlight w:val="none"/>
          <w:lang w:val="en-US" w:eastAsia="zh-CN"/>
        </w:rPr>
        <w:t>矿山</w:t>
      </w:r>
      <w:r>
        <w:rPr>
          <w:rFonts w:hint="default" w:ascii="Times New Roman" w:hAnsi="Times New Roman" w:eastAsia="仿宋_GB2312" w:cs="Times New Roman"/>
          <w:color w:val="auto"/>
          <w:spacing w:val="1"/>
          <w:sz w:val="32"/>
          <w:szCs w:val="32"/>
          <w:highlight w:val="none"/>
          <w:lang w:val="en-US" w:eastAsia="zh-CN"/>
        </w:rPr>
        <w:t>监管部门和</w:t>
      </w:r>
      <w:r>
        <w:rPr>
          <w:rFonts w:hint="eastAsia" w:eastAsia="仿宋_GB2312" w:cs="Times New Roman"/>
          <w:color w:val="auto"/>
          <w:spacing w:val="1"/>
          <w:sz w:val="32"/>
          <w:szCs w:val="32"/>
          <w:highlight w:val="none"/>
          <w:lang w:val="en-US" w:eastAsia="zh-CN"/>
        </w:rPr>
        <w:t>重点</w:t>
      </w:r>
      <w:r>
        <w:rPr>
          <w:rFonts w:hint="default" w:ascii="Times New Roman" w:hAnsi="Times New Roman" w:eastAsia="仿宋_GB2312" w:cs="Times New Roman"/>
          <w:color w:val="auto"/>
          <w:spacing w:val="1"/>
          <w:sz w:val="32"/>
          <w:szCs w:val="32"/>
          <w:highlight w:val="none"/>
          <w:lang w:val="en-US" w:eastAsia="zh-CN"/>
        </w:rPr>
        <w:t>矿山企业开展</w:t>
      </w:r>
      <w:r>
        <w:rPr>
          <w:rFonts w:hint="eastAsia" w:ascii="仿宋_GB2312" w:hAnsi="仿宋_GB2312" w:eastAsia="仿宋_GB2312" w:cs="仿宋_GB2312"/>
          <w:color w:val="auto"/>
          <w:spacing w:val="1"/>
          <w:sz w:val="32"/>
          <w:szCs w:val="32"/>
          <w:highlight w:val="none"/>
          <w:lang w:val="en-US" w:eastAsia="zh-CN"/>
        </w:rPr>
        <w:t>“回头看”</w:t>
      </w:r>
      <w:r>
        <w:rPr>
          <w:rFonts w:hint="default" w:ascii="Times New Roman" w:hAnsi="Times New Roman" w:eastAsia="仿宋_GB2312" w:cs="Times New Roman"/>
          <w:color w:val="auto"/>
          <w:spacing w:val="1"/>
          <w:sz w:val="32"/>
          <w:szCs w:val="32"/>
          <w:highlight w:val="none"/>
          <w:lang w:val="en-US" w:eastAsia="zh-CN"/>
        </w:rPr>
        <w:t>。</w:t>
      </w:r>
    </w:p>
    <w:p w14:paraId="66409B11">
      <w:pPr>
        <w:spacing w:line="560" w:lineRule="exact"/>
        <w:ind w:firstLine="640" w:firstLineChars="200"/>
        <w:rPr>
          <w:rFonts w:hint="default" w:ascii="Times New Roman" w:hAnsi="Times New Roman" w:eastAsia="楷体_GB2312" w:cs="Times New Roman"/>
          <w:b w:val="0"/>
          <w:bCs w:val="0"/>
          <w:color w:val="auto"/>
          <w:sz w:val="32"/>
          <w:szCs w:val="32"/>
        </w:rPr>
      </w:pPr>
      <w:r>
        <w:rPr>
          <w:rFonts w:hint="default" w:ascii="Times New Roman" w:hAnsi="Times New Roman" w:eastAsia="楷体_GB2312" w:cs="Times New Roman"/>
          <w:b w:val="0"/>
          <w:bCs w:val="0"/>
          <w:color w:val="auto"/>
          <w:sz w:val="32"/>
          <w:szCs w:val="32"/>
        </w:rPr>
        <w:t>3、资金投入和使用情况</w:t>
      </w:r>
    </w:p>
    <w:p w14:paraId="7B551F6C">
      <w:pPr>
        <w:spacing w:line="560" w:lineRule="exact"/>
        <w:ind w:firstLine="644" w:firstLineChars="200"/>
        <w:rPr>
          <w:rFonts w:hint="default" w:ascii="Times New Roman" w:hAnsi="Times New Roman" w:eastAsia="楷体_GB2312" w:cs="Times New Roman"/>
          <w:color w:val="auto"/>
          <w:spacing w:val="1"/>
          <w:sz w:val="32"/>
          <w:szCs w:val="32"/>
          <w:highlight w:val="none"/>
          <w:lang w:val="en-US" w:eastAsia="zh-CN"/>
        </w:rPr>
      </w:pPr>
      <w:r>
        <w:rPr>
          <w:rFonts w:hint="eastAsia" w:ascii="Times New Roman" w:hAnsi="Times New Roman" w:eastAsia="楷体_GB2312" w:cs="Times New Roman"/>
          <w:color w:val="auto"/>
          <w:spacing w:val="1"/>
          <w:sz w:val="32"/>
          <w:szCs w:val="32"/>
          <w:highlight w:val="none"/>
          <w:lang w:val="en-US" w:eastAsia="zh-CN"/>
        </w:rPr>
        <w:t>（1）资金投入情况</w:t>
      </w:r>
    </w:p>
    <w:p w14:paraId="4EB7A19C">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该项目年初预算数0万元，全年预算数1173.81万元（年中追加资金），实际总投入1173.81万元，该项目资金已全部落实到位1173.81万元，资金来源为自治区财政拨款。</w:t>
      </w:r>
    </w:p>
    <w:p w14:paraId="6DC6FD3C">
      <w:pPr>
        <w:spacing w:line="560" w:lineRule="exact"/>
        <w:ind w:firstLine="644" w:firstLineChars="200"/>
        <w:rPr>
          <w:rFonts w:hint="eastAsia" w:ascii="Times New Roman" w:hAnsi="Times New Roman" w:eastAsia="楷体_GB2312" w:cs="Times New Roman"/>
          <w:color w:val="auto"/>
          <w:spacing w:val="1"/>
          <w:sz w:val="32"/>
          <w:szCs w:val="32"/>
          <w:highlight w:val="none"/>
          <w:lang w:val="en-US" w:eastAsia="zh-CN"/>
        </w:rPr>
      </w:pPr>
      <w:r>
        <w:rPr>
          <w:rFonts w:hint="eastAsia" w:ascii="Times New Roman" w:hAnsi="Times New Roman" w:eastAsia="楷体_GB2312" w:cs="Times New Roman"/>
          <w:color w:val="auto"/>
          <w:spacing w:val="1"/>
          <w:sz w:val="32"/>
          <w:szCs w:val="32"/>
          <w:highlight w:val="none"/>
          <w:lang w:val="en-US" w:eastAsia="zh-CN"/>
        </w:rPr>
        <w:t>（2）资金使用情况</w:t>
      </w:r>
    </w:p>
    <w:p w14:paraId="1A73FCAD">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w:t>
      </w:r>
      <w:r>
        <w:rPr>
          <w:rFonts w:hint="eastAsia" w:ascii="Times New Roman" w:hAnsi="Times New Roman" w:eastAsia="仿宋_GB2312" w:cs="Times New Roman"/>
          <w:color w:val="auto"/>
          <w:sz w:val="32"/>
          <w:szCs w:val="32"/>
          <w:highlight w:val="none"/>
          <w:lang w:val="en-US" w:eastAsia="zh-CN"/>
        </w:rPr>
        <w:t>全年预算数</w:t>
      </w:r>
      <w:r>
        <w:rPr>
          <w:rFonts w:hint="default" w:ascii="Times New Roman" w:hAnsi="Times New Roman" w:eastAsia="仿宋_GB2312" w:cs="Times New Roman"/>
          <w:color w:val="auto"/>
          <w:sz w:val="32"/>
          <w:szCs w:val="32"/>
          <w:highlight w:val="none"/>
          <w:lang w:val="en-US" w:eastAsia="zh-CN"/>
        </w:rPr>
        <w:t>1173.81</w:t>
      </w:r>
      <w:r>
        <w:rPr>
          <w:rFonts w:hint="eastAsia" w:ascii="Times New Roman" w:hAnsi="Times New Roman" w:eastAsia="仿宋_GB2312" w:cs="Times New Roman"/>
          <w:color w:val="auto"/>
          <w:sz w:val="32"/>
          <w:szCs w:val="32"/>
          <w:highlight w:val="none"/>
          <w:lang w:val="en-US" w:eastAsia="zh-CN"/>
        </w:rPr>
        <w:t>万元</w:t>
      </w:r>
      <w:r>
        <w:rPr>
          <w:rFonts w:hint="default" w:ascii="Times New Roman" w:hAnsi="Times New Roman" w:eastAsia="仿宋_GB2312" w:cs="Times New Roman"/>
          <w:color w:val="auto"/>
          <w:sz w:val="32"/>
          <w:szCs w:val="32"/>
          <w:highlight w:val="none"/>
          <w:lang w:val="en-US" w:eastAsia="zh-CN"/>
        </w:rPr>
        <w:t>（年中追加资金），</w:t>
      </w:r>
      <w:r>
        <w:rPr>
          <w:rFonts w:hint="eastAsia" w:ascii="Times New Roman" w:hAnsi="Times New Roman" w:eastAsia="仿宋_GB2312" w:cs="Times New Roman"/>
          <w:color w:val="auto"/>
          <w:sz w:val="32"/>
          <w:szCs w:val="32"/>
          <w:highlight w:val="none"/>
          <w:lang w:val="en-US" w:eastAsia="zh-CN"/>
        </w:rPr>
        <w:t>全年执行数1173.37万元，预算执行率为99.96%，主要用于：</w:t>
      </w:r>
      <w:r>
        <w:rPr>
          <w:rFonts w:hint="default" w:ascii="Times New Roman" w:hAnsi="Times New Roman" w:eastAsia="仿宋_GB2312" w:cs="Times New Roman"/>
          <w:color w:val="auto"/>
          <w:sz w:val="32"/>
          <w:szCs w:val="32"/>
          <w:highlight w:val="none"/>
          <w:lang w:val="en-US" w:eastAsia="zh-CN"/>
        </w:rPr>
        <w:t>国家帮扶组</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自治区帮扶组</w:t>
      </w:r>
      <w:r>
        <w:rPr>
          <w:rFonts w:hint="eastAsia" w:ascii="Times New Roman" w:hAnsi="Times New Roman" w:eastAsia="仿宋_GB2312" w:cs="Times New Roman"/>
          <w:color w:val="auto"/>
          <w:sz w:val="32"/>
          <w:szCs w:val="32"/>
          <w:highlight w:val="none"/>
          <w:lang w:val="en-US" w:eastAsia="zh-CN"/>
        </w:rPr>
        <w:t>、矿山安全监管综合整治“回头看”专家组成员的专家费、交通费、住宿费和</w:t>
      </w:r>
      <w:r>
        <w:rPr>
          <w:rFonts w:hint="default" w:ascii="Times New Roman" w:hAnsi="Times New Roman" w:eastAsia="仿宋_GB2312" w:cs="Times New Roman"/>
          <w:color w:val="auto"/>
          <w:sz w:val="32"/>
          <w:szCs w:val="32"/>
          <w:highlight w:val="none"/>
          <w:lang w:val="en-US" w:eastAsia="zh-CN"/>
        </w:rPr>
        <w:t>自治区各级应急管理干部跟班学习和培训</w:t>
      </w:r>
      <w:r>
        <w:rPr>
          <w:rFonts w:hint="eastAsia" w:ascii="Times New Roman" w:hAnsi="Times New Roman" w:eastAsia="仿宋_GB2312" w:cs="Times New Roman"/>
          <w:color w:val="auto"/>
          <w:sz w:val="32"/>
          <w:szCs w:val="32"/>
          <w:highlight w:val="none"/>
          <w:lang w:val="en-US" w:eastAsia="zh-CN"/>
        </w:rPr>
        <w:t>费用。</w:t>
      </w:r>
    </w:p>
    <w:p w14:paraId="493CA6A0">
      <w:pPr>
        <w:spacing w:line="560" w:lineRule="exact"/>
        <w:ind w:firstLine="640" w:firstLineChars="200"/>
        <w:rPr>
          <w:rFonts w:eastAsia="楷体_GB2312"/>
          <w:b w:val="0"/>
          <w:bCs w:val="0"/>
          <w:color w:val="auto"/>
          <w:sz w:val="32"/>
          <w:szCs w:val="32"/>
        </w:rPr>
      </w:pPr>
      <w:r>
        <w:rPr>
          <w:rFonts w:eastAsia="楷体_GB2312"/>
          <w:b w:val="0"/>
          <w:bCs w:val="0"/>
          <w:color w:val="auto"/>
          <w:sz w:val="32"/>
          <w:szCs w:val="32"/>
        </w:rPr>
        <w:t>（二）项目绩效目标</w:t>
      </w:r>
    </w:p>
    <w:p w14:paraId="72991440">
      <w:pPr>
        <w:spacing w:line="560" w:lineRule="exact"/>
        <w:ind w:firstLine="640" w:firstLineChars="200"/>
        <w:rPr>
          <w:rFonts w:eastAsia="楷体_GB2312"/>
          <w:b w:val="0"/>
          <w:bCs w:val="0"/>
          <w:color w:val="auto"/>
          <w:sz w:val="32"/>
          <w:szCs w:val="32"/>
        </w:rPr>
      </w:pPr>
      <w:r>
        <w:rPr>
          <w:rFonts w:eastAsia="楷体_GB2312"/>
          <w:b w:val="0"/>
          <w:bCs w:val="0"/>
          <w:color w:val="auto"/>
          <w:sz w:val="32"/>
          <w:szCs w:val="32"/>
        </w:rPr>
        <w:t>1、总体目标</w:t>
      </w:r>
    </w:p>
    <w:p w14:paraId="57B46E09">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一是</w:t>
      </w:r>
      <w:r>
        <w:rPr>
          <w:rFonts w:hint="eastAsia" w:ascii="仿宋_GB2312" w:hAnsi="仿宋_GB2312" w:eastAsia="仿宋_GB2312" w:cs="仿宋_GB2312"/>
          <w:color w:val="auto"/>
          <w:sz w:val="32"/>
          <w:szCs w:val="32"/>
          <w:highlight w:val="none"/>
          <w:lang w:val="en-US" w:eastAsia="zh-CN"/>
        </w:rPr>
        <w:t>对全区</w:t>
      </w:r>
      <w:r>
        <w:rPr>
          <w:rFonts w:hint="default" w:ascii="Times New Roman" w:hAnsi="Times New Roman" w:eastAsia="仿宋_GB2312" w:cs="Times New Roman"/>
          <w:color w:val="auto"/>
          <w:sz w:val="32"/>
          <w:szCs w:val="32"/>
          <w:highlight w:val="none"/>
          <w:lang w:val="en-US" w:eastAsia="zh-CN"/>
        </w:rPr>
        <w:t>120处煤矿和230</w:t>
      </w:r>
      <w:r>
        <w:rPr>
          <w:rFonts w:hint="eastAsia" w:ascii="仿宋_GB2312" w:hAnsi="仿宋_GB2312" w:eastAsia="仿宋_GB2312" w:cs="仿宋_GB2312"/>
          <w:color w:val="auto"/>
          <w:sz w:val="32"/>
          <w:szCs w:val="32"/>
          <w:highlight w:val="none"/>
          <w:lang w:val="en-US" w:eastAsia="zh-CN"/>
        </w:rPr>
        <w:t>处非煤矿山开展安全诊断和隐患排查；</w:t>
      </w:r>
      <w:r>
        <w:rPr>
          <w:rFonts w:hint="eastAsia" w:ascii="仿宋_GB2312" w:hAnsi="仿宋_GB2312" w:eastAsia="仿宋_GB2312" w:cs="仿宋_GB2312"/>
          <w:b/>
          <w:bCs/>
          <w:color w:val="auto"/>
          <w:sz w:val="32"/>
          <w:szCs w:val="32"/>
          <w:highlight w:val="none"/>
          <w:lang w:val="en-US" w:eastAsia="zh-CN"/>
        </w:rPr>
        <w:t>二是</w:t>
      </w:r>
      <w:r>
        <w:rPr>
          <w:rFonts w:hint="eastAsia" w:ascii="仿宋_GB2312" w:hAnsi="仿宋_GB2312" w:eastAsia="仿宋_GB2312" w:cs="仿宋_GB2312"/>
          <w:color w:val="auto"/>
          <w:sz w:val="32"/>
          <w:szCs w:val="32"/>
          <w:highlight w:val="none"/>
          <w:lang w:val="en-US" w:eastAsia="zh-CN"/>
        </w:rPr>
        <w:t>对各</w:t>
      </w:r>
      <w:r>
        <w:rPr>
          <w:rFonts w:hint="default" w:ascii="Times New Roman" w:hAnsi="Times New Roman" w:eastAsia="仿宋_GB2312" w:cs="Times New Roman"/>
          <w:color w:val="auto"/>
          <w:spacing w:val="1"/>
          <w:sz w:val="32"/>
          <w:szCs w:val="32"/>
          <w:highlight w:val="none"/>
          <w:lang w:val="en-US" w:eastAsia="zh-CN"/>
        </w:rPr>
        <w:t>地、县政府，</w:t>
      </w:r>
      <w:r>
        <w:rPr>
          <w:rFonts w:hint="eastAsia" w:eastAsia="仿宋_GB2312" w:cs="Times New Roman"/>
          <w:color w:val="auto"/>
          <w:spacing w:val="1"/>
          <w:sz w:val="32"/>
          <w:szCs w:val="32"/>
          <w:highlight w:val="none"/>
          <w:lang w:val="en-US" w:eastAsia="zh-CN"/>
        </w:rPr>
        <w:t>矿山</w:t>
      </w:r>
      <w:r>
        <w:rPr>
          <w:rFonts w:hint="default" w:ascii="Times New Roman" w:hAnsi="Times New Roman" w:eastAsia="仿宋_GB2312" w:cs="Times New Roman"/>
          <w:color w:val="auto"/>
          <w:spacing w:val="1"/>
          <w:sz w:val="32"/>
          <w:szCs w:val="32"/>
          <w:highlight w:val="none"/>
          <w:lang w:val="en-US" w:eastAsia="zh-CN"/>
        </w:rPr>
        <w:t>监管部门</w:t>
      </w:r>
      <w:r>
        <w:rPr>
          <w:rFonts w:hint="eastAsia" w:eastAsia="仿宋_GB2312" w:cs="Times New Roman"/>
          <w:color w:val="auto"/>
          <w:spacing w:val="1"/>
          <w:sz w:val="32"/>
          <w:szCs w:val="32"/>
          <w:highlight w:val="none"/>
          <w:lang w:val="en-US" w:eastAsia="zh-CN"/>
        </w:rPr>
        <w:t>开展帮扶指导</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lang w:val="en-US" w:eastAsia="zh-CN"/>
        </w:rPr>
        <w:t>三是</w:t>
      </w:r>
      <w:r>
        <w:rPr>
          <w:rFonts w:hint="eastAsia" w:ascii="仿宋_GB2312" w:hAnsi="仿宋_GB2312" w:eastAsia="仿宋_GB2312" w:cs="仿宋_GB2312"/>
          <w:color w:val="auto"/>
          <w:sz w:val="32"/>
          <w:szCs w:val="32"/>
          <w:highlight w:val="none"/>
          <w:lang w:val="en-US" w:eastAsia="zh-CN"/>
        </w:rPr>
        <w:t>为</w:t>
      </w:r>
      <w:r>
        <w:rPr>
          <w:rFonts w:hint="default" w:ascii="Times New Roman" w:hAnsi="Times New Roman" w:eastAsia="仿宋_GB2312" w:cs="Times New Roman"/>
          <w:color w:val="auto"/>
          <w:spacing w:val="1"/>
          <w:sz w:val="32"/>
          <w:szCs w:val="32"/>
          <w:highlight w:val="none"/>
          <w:lang w:val="en-US" w:eastAsia="zh-CN"/>
        </w:rPr>
        <w:t>确保国家帮扶检查发现问题隐患，特别是重大隐患，100%从严从实整改到位</w:t>
      </w:r>
      <w:r>
        <w:rPr>
          <w:rFonts w:hint="eastAsia" w:eastAsia="仿宋_GB2312" w:cs="Times New Roman"/>
          <w:color w:val="auto"/>
          <w:spacing w:val="1"/>
          <w:sz w:val="32"/>
          <w:szCs w:val="32"/>
          <w:highlight w:val="none"/>
          <w:lang w:val="en-US" w:eastAsia="zh-CN"/>
        </w:rPr>
        <w:t>，成立矿山安全监管综合整治</w:t>
      </w:r>
      <w:r>
        <w:rPr>
          <w:rFonts w:hint="eastAsia" w:ascii="仿宋_GB2312" w:hAnsi="仿宋_GB2312" w:eastAsia="仿宋_GB2312" w:cs="仿宋_GB2312"/>
          <w:color w:val="auto"/>
          <w:spacing w:val="1"/>
          <w:sz w:val="32"/>
          <w:szCs w:val="32"/>
          <w:highlight w:val="none"/>
          <w:lang w:val="en-US" w:eastAsia="zh-CN"/>
        </w:rPr>
        <w:t>“回头看”检查组，</w:t>
      </w:r>
      <w:r>
        <w:rPr>
          <w:rFonts w:hint="default" w:ascii="Times New Roman" w:hAnsi="Times New Roman" w:eastAsia="仿宋_GB2312" w:cs="Times New Roman"/>
          <w:color w:val="auto"/>
          <w:spacing w:val="1"/>
          <w:sz w:val="32"/>
          <w:szCs w:val="32"/>
          <w:highlight w:val="none"/>
          <w:lang w:val="en-US" w:eastAsia="zh-CN"/>
        </w:rPr>
        <w:t>对</w:t>
      </w:r>
      <w:r>
        <w:rPr>
          <w:rFonts w:hint="eastAsia" w:eastAsia="仿宋_GB2312" w:cs="Times New Roman"/>
          <w:color w:val="auto"/>
          <w:spacing w:val="1"/>
          <w:sz w:val="32"/>
          <w:szCs w:val="32"/>
          <w:highlight w:val="none"/>
          <w:lang w:val="en-US" w:eastAsia="zh-CN"/>
        </w:rPr>
        <w:t>国家和自治区帮扶指导检查的</w:t>
      </w:r>
      <w:r>
        <w:rPr>
          <w:rFonts w:hint="default" w:ascii="Times New Roman" w:hAnsi="Times New Roman" w:eastAsia="仿宋_GB2312" w:cs="Times New Roman"/>
          <w:color w:val="auto"/>
          <w:spacing w:val="1"/>
          <w:sz w:val="32"/>
          <w:szCs w:val="32"/>
          <w:highlight w:val="none"/>
          <w:lang w:val="en-US" w:eastAsia="zh-CN"/>
        </w:rPr>
        <w:t>地、县政府，</w:t>
      </w:r>
      <w:r>
        <w:rPr>
          <w:rFonts w:hint="eastAsia" w:eastAsia="仿宋_GB2312" w:cs="Times New Roman"/>
          <w:color w:val="auto"/>
          <w:spacing w:val="1"/>
          <w:sz w:val="32"/>
          <w:szCs w:val="32"/>
          <w:highlight w:val="none"/>
          <w:lang w:val="en-US" w:eastAsia="zh-CN"/>
        </w:rPr>
        <w:t>矿山</w:t>
      </w:r>
      <w:r>
        <w:rPr>
          <w:rFonts w:hint="default" w:ascii="Times New Roman" w:hAnsi="Times New Roman" w:eastAsia="仿宋_GB2312" w:cs="Times New Roman"/>
          <w:color w:val="auto"/>
          <w:spacing w:val="1"/>
          <w:sz w:val="32"/>
          <w:szCs w:val="32"/>
          <w:highlight w:val="none"/>
          <w:lang w:val="en-US" w:eastAsia="zh-CN"/>
        </w:rPr>
        <w:t>监管部门和</w:t>
      </w:r>
      <w:r>
        <w:rPr>
          <w:rFonts w:hint="eastAsia" w:eastAsia="仿宋_GB2312" w:cs="Times New Roman"/>
          <w:color w:val="auto"/>
          <w:spacing w:val="1"/>
          <w:sz w:val="32"/>
          <w:szCs w:val="32"/>
          <w:highlight w:val="none"/>
          <w:lang w:val="en-US" w:eastAsia="zh-CN"/>
        </w:rPr>
        <w:t>重点</w:t>
      </w:r>
      <w:r>
        <w:rPr>
          <w:rFonts w:hint="default" w:ascii="Times New Roman" w:hAnsi="Times New Roman" w:eastAsia="仿宋_GB2312" w:cs="Times New Roman"/>
          <w:color w:val="auto"/>
          <w:spacing w:val="1"/>
          <w:sz w:val="32"/>
          <w:szCs w:val="32"/>
          <w:highlight w:val="none"/>
          <w:lang w:val="en-US" w:eastAsia="zh-CN"/>
        </w:rPr>
        <w:t>矿山企业</w:t>
      </w:r>
      <w:r>
        <w:rPr>
          <w:rFonts w:hint="eastAsia" w:ascii="仿宋_GB2312" w:hAnsi="仿宋_GB2312" w:eastAsia="仿宋_GB2312" w:cs="仿宋_GB2312"/>
          <w:color w:val="auto"/>
          <w:spacing w:val="1"/>
          <w:sz w:val="32"/>
          <w:szCs w:val="32"/>
          <w:highlight w:val="none"/>
          <w:lang w:val="en-US" w:eastAsia="zh-CN"/>
        </w:rPr>
        <w:t>“回头看”</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b/>
          <w:bCs/>
          <w:color w:val="auto"/>
          <w:sz w:val="32"/>
          <w:szCs w:val="32"/>
          <w:highlight w:val="none"/>
          <w:lang w:val="en-US" w:eastAsia="zh-CN"/>
        </w:rPr>
        <w:t>四</w:t>
      </w:r>
      <w:r>
        <w:rPr>
          <w:rFonts w:hint="default" w:ascii="Times New Roman" w:hAnsi="Times New Roman" w:eastAsia="仿宋_GB2312" w:cs="Times New Roman"/>
          <w:b/>
          <w:bCs/>
          <w:color w:val="auto"/>
          <w:sz w:val="32"/>
          <w:szCs w:val="32"/>
          <w:highlight w:val="none"/>
          <w:lang w:val="en-US" w:eastAsia="zh-CN"/>
        </w:rPr>
        <w:t>是</w:t>
      </w:r>
      <w:r>
        <w:rPr>
          <w:rFonts w:hint="default" w:ascii="Times New Roman" w:hAnsi="Times New Roman" w:eastAsia="仿宋_GB2312" w:cs="Times New Roman"/>
          <w:color w:val="auto"/>
          <w:sz w:val="32"/>
          <w:szCs w:val="32"/>
          <w:highlight w:val="none"/>
          <w:lang w:val="en-US" w:eastAsia="zh-CN"/>
        </w:rPr>
        <w:t>对200名各级应急管理干部进行培训；</w:t>
      </w:r>
      <w:r>
        <w:rPr>
          <w:rFonts w:hint="default" w:ascii="Times New Roman" w:hAnsi="Times New Roman" w:eastAsia="仿宋_GB2312" w:cs="Times New Roman"/>
          <w:b/>
          <w:bCs/>
          <w:color w:val="auto"/>
          <w:sz w:val="32"/>
          <w:szCs w:val="32"/>
          <w:highlight w:val="none"/>
          <w:lang w:val="en-US" w:eastAsia="zh-CN"/>
        </w:rPr>
        <w:t>五是</w:t>
      </w:r>
      <w:r>
        <w:rPr>
          <w:rFonts w:hint="default" w:ascii="Times New Roman" w:hAnsi="Times New Roman" w:eastAsia="仿宋_GB2312" w:cs="Times New Roman"/>
          <w:color w:val="auto"/>
          <w:sz w:val="32"/>
          <w:szCs w:val="32"/>
          <w:highlight w:val="none"/>
          <w:lang w:val="en-US" w:eastAsia="zh-CN"/>
        </w:rPr>
        <w:t>确保重大隐患挂牌督办率100%，问题隐患整改率≥95%</w:t>
      </w:r>
      <w:r>
        <w:rPr>
          <w:rFonts w:hint="eastAsia" w:ascii="仿宋_GB2312" w:hAnsi="仿宋_GB2312" w:eastAsia="仿宋_GB2312" w:cs="仿宋_GB2312"/>
          <w:color w:val="auto"/>
          <w:sz w:val="32"/>
          <w:szCs w:val="32"/>
          <w:highlight w:val="none"/>
          <w:lang w:val="en-US" w:eastAsia="zh-CN"/>
        </w:rPr>
        <w:t>。</w:t>
      </w:r>
    </w:p>
    <w:p w14:paraId="4D563193">
      <w:pPr>
        <w:spacing w:line="560" w:lineRule="exact"/>
        <w:ind w:firstLine="640" w:firstLineChars="200"/>
        <w:rPr>
          <w:rFonts w:hint="eastAsia" w:ascii="仿宋_GB2312" w:hAnsi="仿宋_GB2312" w:eastAsia="仿宋_GB2312" w:cs="仿宋_GB2312"/>
          <w:color w:val="auto"/>
          <w:sz w:val="30"/>
          <w:szCs w:val="30"/>
          <w:highlight w:val="none"/>
          <w:lang w:val="en-US" w:eastAsia="zh-CN"/>
        </w:rPr>
      </w:pPr>
      <w:r>
        <w:rPr>
          <w:rFonts w:eastAsia="楷体_GB2312"/>
          <w:b w:val="0"/>
          <w:bCs w:val="0"/>
          <w:color w:val="auto"/>
          <w:sz w:val="32"/>
          <w:szCs w:val="32"/>
        </w:rPr>
        <w:t>2、阶段性目标</w:t>
      </w:r>
    </w:p>
    <w:p w14:paraId="0286B7AD">
      <w:pPr>
        <w:spacing w:line="560" w:lineRule="exact"/>
        <w:ind w:firstLine="643" w:firstLineChars="200"/>
        <w:rPr>
          <w:rFonts w:hint="default" w:eastAsia="仿宋_GB2312"/>
          <w:b w:val="0"/>
          <w:bCs/>
          <w:color w:val="auto"/>
          <w:lang w:val="en-US" w:eastAsia="zh-CN"/>
        </w:rPr>
      </w:pPr>
      <w:r>
        <w:rPr>
          <w:rFonts w:hint="eastAsia" w:ascii="Times New Roman" w:hAnsi="Times New Roman" w:eastAsia="仿宋_GB2312" w:cs="Times New Roman"/>
          <w:b/>
          <w:bCs/>
          <w:color w:val="auto"/>
          <w:sz w:val="32"/>
          <w:szCs w:val="32"/>
          <w:highlight w:val="none"/>
          <w:lang w:val="en-US" w:eastAsia="zh-CN"/>
        </w:rPr>
        <w:t>一是</w:t>
      </w:r>
      <w:r>
        <w:rPr>
          <w:rFonts w:hint="eastAsia" w:ascii="Times New Roman" w:hAnsi="Times New Roman" w:eastAsia="仿宋_GB2312" w:cs="Times New Roman"/>
          <w:color w:val="auto"/>
          <w:sz w:val="32"/>
          <w:szCs w:val="32"/>
          <w:highlight w:val="none"/>
          <w:lang w:val="en-US" w:eastAsia="zh-CN"/>
        </w:rPr>
        <w:t>2023年2月至6月，</w:t>
      </w:r>
      <w:r>
        <w:rPr>
          <w:rFonts w:hint="default" w:ascii="仿宋_GB2312" w:hAnsi="仿宋_GB2312" w:eastAsia="仿宋_GB2312" w:cs="仿宋_GB2312"/>
          <w:color w:val="auto"/>
          <w:sz w:val="32"/>
          <w:szCs w:val="32"/>
          <w:highlight w:val="none"/>
          <w:lang w:val="en-US" w:eastAsia="zh-CN"/>
        </w:rPr>
        <w:t>国家帮扶组</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自治区帮扶组</w:t>
      </w:r>
      <w:r>
        <w:rPr>
          <w:rFonts w:hint="eastAsia" w:ascii="仿宋_GB2312" w:hAnsi="仿宋_GB2312" w:eastAsia="仿宋_GB2312" w:cs="仿宋_GB2312"/>
          <w:color w:val="auto"/>
          <w:sz w:val="32"/>
          <w:szCs w:val="32"/>
          <w:highlight w:val="none"/>
          <w:lang w:val="en-US" w:eastAsia="zh-CN"/>
        </w:rPr>
        <w:t>对全区</w:t>
      </w:r>
      <w:r>
        <w:rPr>
          <w:rFonts w:hint="default" w:ascii="Times New Roman" w:hAnsi="Times New Roman" w:eastAsia="仿宋_GB2312" w:cs="Times New Roman"/>
          <w:color w:val="auto"/>
          <w:sz w:val="32"/>
          <w:szCs w:val="32"/>
          <w:highlight w:val="none"/>
          <w:lang w:val="en-US" w:eastAsia="zh-CN"/>
        </w:rPr>
        <w:t>120处煤矿和230</w:t>
      </w:r>
      <w:r>
        <w:rPr>
          <w:rFonts w:hint="eastAsia" w:ascii="仿宋_GB2312" w:hAnsi="仿宋_GB2312" w:eastAsia="仿宋_GB2312" w:cs="仿宋_GB2312"/>
          <w:color w:val="auto"/>
          <w:sz w:val="32"/>
          <w:szCs w:val="32"/>
          <w:highlight w:val="none"/>
          <w:lang w:val="en-US" w:eastAsia="zh-CN"/>
        </w:rPr>
        <w:t>处非煤矿山开展安全诊断和隐患排查，并同时对属地</w:t>
      </w:r>
      <w:r>
        <w:rPr>
          <w:rFonts w:hint="default" w:ascii="Times New Roman" w:hAnsi="Times New Roman" w:eastAsia="仿宋_GB2312" w:cs="Times New Roman"/>
          <w:color w:val="auto"/>
          <w:spacing w:val="1"/>
          <w:sz w:val="32"/>
          <w:szCs w:val="32"/>
          <w:highlight w:val="none"/>
          <w:lang w:val="en-US" w:eastAsia="zh-CN"/>
        </w:rPr>
        <w:t>政府</w:t>
      </w:r>
      <w:r>
        <w:rPr>
          <w:rFonts w:hint="eastAsia" w:eastAsia="仿宋_GB2312" w:cs="Times New Roman"/>
          <w:color w:val="auto"/>
          <w:spacing w:val="1"/>
          <w:sz w:val="32"/>
          <w:szCs w:val="32"/>
          <w:highlight w:val="none"/>
          <w:lang w:val="en-US" w:eastAsia="zh-CN"/>
        </w:rPr>
        <w:t>、矿山</w:t>
      </w:r>
      <w:r>
        <w:rPr>
          <w:rFonts w:hint="default" w:ascii="Times New Roman" w:hAnsi="Times New Roman" w:eastAsia="仿宋_GB2312" w:cs="Times New Roman"/>
          <w:color w:val="auto"/>
          <w:spacing w:val="1"/>
          <w:sz w:val="32"/>
          <w:szCs w:val="32"/>
          <w:highlight w:val="none"/>
          <w:lang w:val="en-US" w:eastAsia="zh-CN"/>
        </w:rPr>
        <w:t>监管部门</w:t>
      </w:r>
      <w:r>
        <w:rPr>
          <w:rFonts w:hint="eastAsia" w:eastAsia="仿宋_GB2312" w:cs="Times New Roman"/>
          <w:color w:val="auto"/>
          <w:spacing w:val="1"/>
          <w:sz w:val="32"/>
          <w:szCs w:val="32"/>
          <w:highlight w:val="none"/>
          <w:lang w:val="en-US" w:eastAsia="zh-CN"/>
        </w:rPr>
        <w:t>开展帮扶指</w:t>
      </w:r>
      <w:r>
        <w:rPr>
          <w:rFonts w:hint="eastAsia" w:ascii="Times New Roman" w:hAnsi="Times New Roman" w:eastAsia="仿宋_GB2312" w:cs="Times New Roman"/>
          <w:color w:val="auto"/>
          <w:sz w:val="32"/>
          <w:szCs w:val="32"/>
          <w:highlight w:val="none"/>
          <w:lang w:val="en-US" w:eastAsia="zh-CN"/>
        </w:rPr>
        <w:t>导；</w:t>
      </w:r>
      <w:r>
        <w:rPr>
          <w:rFonts w:hint="eastAsia" w:ascii="Times New Roman" w:hAnsi="Times New Roman" w:eastAsia="仿宋_GB2312" w:cs="Times New Roman"/>
          <w:b/>
          <w:bCs/>
          <w:color w:val="auto"/>
          <w:sz w:val="32"/>
          <w:szCs w:val="32"/>
          <w:highlight w:val="none"/>
          <w:lang w:val="en-US" w:eastAsia="zh-CN"/>
        </w:rPr>
        <w:t>二是</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023年</w:t>
      </w:r>
      <w:r>
        <w:rPr>
          <w:rFonts w:hint="eastAsia"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月</w:t>
      </w:r>
      <w:r>
        <w:rPr>
          <w:rFonts w:hint="eastAsia" w:ascii="Times New Roman" w:hAnsi="Times New Roman" w:eastAsia="仿宋_GB2312" w:cs="Times New Roman"/>
          <w:color w:val="auto"/>
          <w:sz w:val="32"/>
          <w:szCs w:val="32"/>
          <w:highlight w:val="none"/>
          <w:lang w:val="en-US" w:eastAsia="zh-CN"/>
        </w:rPr>
        <w:t>至8月，对</w:t>
      </w:r>
      <w:r>
        <w:rPr>
          <w:rFonts w:hint="default" w:ascii="Times New Roman" w:hAnsi="Times New Roman" w:eastAsia="仿宋_GB2312" w:cs="Times New Roman"/>
          <w:color w:val="auto"/>
          <w:sz w:val="32"/>
          <w:szCs w:val="32"/>
          <w:highlight w:val="none"/>
          <w:lang w:val="en-US" w:eastAsia="zh-CN"/>
        </w:rPr>
        <w:t>国家帮扶指导</w:t>
      </w:r>
      <w:r>
        <w:rPr>
          <w:rFonts w:hint="default" w:ascii="Times New Roman" w:hAnsi="Times New Roman" w:eastAsia="仿宋_GB2312" w:cs="Times New Roman"/>
          <w:color w:val="auto"/>
          <w:sz w:val="32"/>
          <w:szCs w:val="32"/>
          <w:highlight w:val="none"/>
        </w:rPr>
        <w:t>检查</w:t>
      </w:r>
      <w:r>
        <w:rPr>
          <w:rFonts w:hint="eastAsia" w:ascii="Times New Roman" w:hAnsi="Times New Roman" w:eastAsia="仿宋_GB2312" w:cs="Times New Roman"/>
          <w:color w:val="auto"/>
          <w:sz w:val="32"/>
          <w:szCs w:val="32"/>
          <w:highlight w:val="none"/>
          <w:lang w:val="en-US" w:eastAsia="zh-CN"/>
        </w:rPr>
        <w:t>综合评定等次为“差”和问题比较集中的地、县地方政府、监管部门和辖区矿山企业开展矿山接续帮扶指导</w:t>
      </w:r>
      <w:r>
        <w:rPr>
          <w:rFonts w:hint="default" w:ascii="Times New Roman" w:hAnsi="Times New Roman" w:eastAsia="仿宋_GB2312" w:cs="Times New Roman"/>
          <w:color w:val="auto"/>
          <w:sz w:val="32"/>
          <w:szCs w:val="32"/>
          <w:highlight w:val="none"/>
        </w:rPr>
        <w:t>工作</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b/>
          <w:bCs/>
          <w:color w:val="auto"/>
          <w:sz w:val="32"/>
          <w:szCs w:val="32"/>
          <w:highlight w:val="none"/>
          <w:lang w:val="en-US" w:eastAsia="zh-CN"/>
        </w:rPr>
        <w:t>三是</w:t>
      </w:r>
      <w:r>
        <w:rPr>
          <w:rFonts w:hint="default" w:ascii="Times New Roman" w:hAnsi="Times New Roman" w:eastAsia="仿宋_GB2312" w:cs="Times New Roman"/>
          <w:color w:val="auto"/>
          <w:sz w:val="32"/>
          <w:szCs w:val="32"/>
          <w:highlight w:val="none"/>
        </w:rPr>
        <w:t>2023年</w:t>
      </w:r>
      <w:r>
        <w:rPr>
          <w:rFonts w:hint="eastAsia" w:ascii="Times New Roman" w:hAnsi="Times New Roman"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rPr>
        <w:t>月</w:t>
      </w:r>
      <w:r>
        <w:rPr>
          <w:rFonts w:hint="eastAsia" w:ascii="Times New Roman" w:hAnsi="Times New Roman" w:eastAsia="仿宋_GB2312" w:cs="Times New Roman"/>
          <w:color w:val="auto"/>
          <w:sz w:val="32"/>
          <w:szCs w:val="32"/>
          <w:highlight w:val="none"/>
          <w:lang w:val="en-US" w:eastAsia="zh-CN"/>
        </w:rPr>
        <w:t>至10月，</w:t>
      </w:r>
      <w:r>
        <w:rPr>
          <w:rFonts w:hint="default" w:ascii="Times New Roman" w:hAnsi="Times New Roman" w:eastAsia="仿宋_GB2312" w:cs="Times New Roman"/>
          <w:color w:val="auto"/>
          <w:spacing w:val="1"/>
          <w:sz w:val="32"/>
          <w:szCs w:val="32"/>
          <w:highlight w:val="none"/>
          <w:lang w:val="en-US" w:eastAsia="zh-CN"/>
        </w:rPr>
        <w:t>对</w:t>
      </w:r>
      <w:r>
        <w:rPr>
          <w:rFonts w:hint="eastAsia" w:eastAsia="仿宋_GB2312" w:cs="Times New Roman"/>
          <w:color w:val="auto"/>
          <w:spacing w:val="1"/>
          <w:sz w:val="32"/>
          <w:szCs w:val="32"/>
          <w:highlight w:val="none"/>
          <w:lang w:val="en-US" w:eastAsia="zh-CN"/>
        </w:rPr>
        <w:t>国家和自治区帮扶指导检查的</w:t>
      </w:r>
      <w:r>
        <w:rPr>
          <w:rFonts w:hint="default" w:ascii="Times New Roman" w:hAnsi="Times New Roman" w:eastAsia="仿宋_GB2312" w:cs="Times New Roman"/>
          <w:color w:val="auto"/>
          <w:spacing w:val="1"/>
          <w:sz w:val="32"/>
          <w:szCs w:val="32"/>
          <w:highlight w:val="none"/>
          <w:lang w:val="en-US" w:eastAsia="zh-CN"/>
        </w:rPr>
        <w:t>地、县政府，</w:t>
      </w:r>
      <w:r>
        <w:rPr>
          <w:rFonts w:hint="eastAsia" w:eastAsia="仿宋_GB2312" w:cs="Times New Roman"/>
          <w:color w:val="auto"/>
          <w:spacing w:val="1"/>
          <w:sz w:val="32"/>
          <w:szCs w:val="32"/>
          <w:highlight w:val="none"/>
          <w:lang w:val="en-US" w:eastAsia="zh-CN"/>
        </w:rPr>
        <w:t>矿山</w:t>
      </w:r>
      <w:r>
        <w:rPr>
          <w:rFonts w:hint="default" w:ascii="Times New Roman" w:hAnsi="Times New Roman" w:eastAsia="仿宋_GB2312" w:cs="Times New Roman"/>
          <w:color w:val="auto"/>
          <w:spacing w:val="1"/>
          <w:sz w:val="32"/>
          <w:szCs w:val="32"/>
          <w:highlight w:val="none"/>
          <w:lang w:val="en-US" w:eastAsia="zh-CN"/>
        </w:rPr>
        <w:t>监管部门和</w:t>
      </w:r>
      <w:r>
        <w:rPr>
          <w:rFonts w:hint="eastAsia" w:eastAsia="仿宋_GB2312" w:cs="Times New Roman"/>
          <w:color w:val="auto"/>
          <w:spacing w:val="1"/>
          <w:sz w:val="32"/>
          <w:szCs w:val="32"/>
          <w:highlight w:val="none"/>
          <w:lang w:val="en-US" w:eastAsia="zh-CN"/>
        </w:rPr>
        <w:t>重点</w:t>
      </w:r>
      <w:r>
        <w:rPr>
          <w:rFonts w:hint="default" w:ascii="Times New Roman" w:hAnsi="Times New Roman" w:eastAsia="仿宋_GB2312" w:cs="Times New Roman"/>
          <w:color w:val="auto"/>
          <w:spacing w:val="1"/>
          <w:sz w:val="32"/>
          <w:szCs w:val="32"/>
          <w:highlight w:val="none"/>
          <w:lang w:val="en-US" w:eastAsia="zh-CN"/>
        </w:rPr>
        <w:t>矿山企业开展</w:t>
      </w:r>
      <w:r>
        <w:rPr>
          <w:rFonts w:hint="eastAsia" w:ascii="仿宋_GB2312" w:hAnsi="仿宋_GB2312" w:eastAsia="仿宋_GB2312" w:cs="仿宋_GB2312"/>
          <w:color w:val="auto"/>
          <w:spacing w:val="1"/>
          <w:sz w:val="32"/>
          <w:szCs w:val="32"/>
          <w:highlight w:val="none"/>
          <w:lang w:val="en-US" w:eastAsia="zh-CN"/>
        </w:rPr>
        <w:t>“回头看”；</w:t>
      </w:r>
      <w:r>
        <w:rPr>
          <w:rFonts w:hint="eastAsia" w:ascii="Times New Roman" w:hAnsi="Times New Roman" w:eastAsia="仿宋_GB2312" w:cs="Times New Roman"/>
          <w:b/>
          <w:bCs/>
          <w:color w:val="auto"/>
          <w:sz w:val="32"/>
          <w:szCs w:val="32"/>
          <w:lang w:val="en-US" w:eastAsia="zh-CN"/>
        </w:rPr>
        <w:t>四是</w:t>
      </w:r>
      <w:r>
        <w:rPr>
          <w:rFonts w:hint="eastAsia" w:ascii="Times New Roman" w:hAnsi="Times New Roman" w:eastAsia="仿宋_GB2312" w:cs="Times New Roman"/>
          <w:color w:val="auto"/>
          <w:sz w:val="32"/>
          <w:szCs w:val="32"/>
          <w:lang w:val="en-US" w:eastAsia="zh-CN"/>
        </w:rPr>
        <w:t>2023年10月，举</w:t>
      </w:r>
      <w:r>
        <w:rPr>
          <w:rFonts w:hint="eastAsia" w:ascii="Times New Roman" w:hAnsi="Times New Roman" w:eastAsia="仿宋_GB2312" w:cs="Times New Roman"/>
          <w:color w:val="auto"/>
          <w:spacing w:val="1"/>
          <w:sz w:val="32"/>
          <w:szCs w:val="32"/>
          <w:highlight w:val="none"/>
          <w:lang w:val="en-US" w:eastAsia="zh-CN"/>
        </w:rPr>
        <w:t>办全区各地（州、市）、县（市、区）应急管理执法业务骨干能力提升培训班；</w:t>
      </w:r>
      <w:r>
        <w:rPr>
          <w:rFonts w:hint="eastAsia" w:eastAsia="仿宋_GB2312" w:cs="Times New Roman"/>
          <w:b/>
          <w:bCs/>
          <w:color w:val="auto"/>
          <w:spacing w:val="1"/>
          <w:sz w:val="32"/>
          <w:szCs w:val="32"/>
          <w:highlight w:val="none"/>
          <w:lang w:val="en-US" w:eastAsia="zh-CN"/>
        </w:rPr>
        <w:t>五</w:t>
      </w:r>
      <w:r>
        <w:rPr>
          <w:rFonts w:hint="eastAsia" w:ascii="Times New Roman" w:hAnsi="Times New Roman" w:eastAsia="仿宋_GB2312" w:cs="Times New Roman"/>
          <w:b/>
          <w:bCs/>
          <w:color w:val="auto"/>
          <w:spacing w:val="1"/>
          <w:sz w:val="32"/>
          <w:szCs w:val="32"/>
          <w:highlight w:val="none"/>
          <w:lang w:val="en-US" w:eastAsia="zh-CN"/>
        </w:rPr>
        <w:t>是</w:t>
      </w:r>
      <w:r>
        <w:rPr>
          <w:rFonts w:hint="eastAsia" w:ascii="Times New Roman" w:hAnsi="Times New Roman" w:eastAsia="仿宋_GB2312" w:cs="Times New Roman"/>
          <w:color w:val="auto"/>
          <w:spacing w:val="1"/>
          <w:sz w:val="32"/>
          <w:szCs w:val="32"/>
          <w:highlight w:val="none"/>
          <w:lang w:val="en-US" w:eastAsia="zh-CN"/>
        </w:rPr>
        <w:t>2023年11月至12月，举办自治区矿山安全监管专题培训班。</w:t>
      </w:r>
    </w:p>
    <w:p w14:paraId="38A72E02">
      <w:pPr>
        <w:spacing w:line="560" w:lineRule="exact"/>
        <w:ind w:firstLine="640" w:firstLineChars="200"/>
        <w:rPr>
          <w:rFonts w:eastAsia="黑体"/>
          <w:color w:val="auto"/>
          <w:sz w:val="32"/>
          <w:szCs w:val="32"/>
        </w:rPr>
      </w:pPr>
      <w:r>
        <w:rPr>
          <w:rFonts w:eastAsia="黑体"/>
          <w:color w:val="auto"/>
          <w:sz w:val="32"/>
          <w:szCs w:val="32"/>
        </w:rPr>
        <w:t>二、绩效评价工作开展情况</w:t>
      </w:r>
    </w:p>
    <w:p w14:paraId="2D93EC75">
      <w:pPr>
        <w:spacing w:line="560" w:lineRule="exact"/>
        <w:ind w:firstLine="640" w:firstLineChars="200"/>
        <w:rPr>
          <w:rFonts w:eastAsia="楷体_GB2312"/>
          <w:b w:val="0"/>
          <w:bCs w:val="0"/>
          <w:color w:val="auto"/>
          <w:sz w:val="32"/>
          <w:szCs w:val="32"/>
        </w:rPr>
      </w:pPr>
      <w:r>
        <w:rPr>
          <w:rFonts w:eastAsia="楷体_GB2312"/>
          <w:b w:val="0"/>
          <w:bCs w:val="0"/>
          <w:color w:val="auto"/>
          <w:sz w:val="32"/>
          <w:szCs w:val="32"/>
        </w:rPr>
        <w:t>（一）绩效评价目的、对象和范围</w:t>
      </w:r>
    </w:p>
    <w:p w14:paraId="531ACB8C">
      <w:pPr>
        <w:spacing w:line="560" w:lineRule="exact"/>
        <w:ind w:firstLine="640" w:firstLineChars="200"/>
        <w:rPr>
          <w:rFonts w:eastAsia="楷体_GB2312"/>
          <w:b w:val="0"/>
          <w:bCs w:val="0"/>
          <w:color w:val="auto"/>
          <w:sz w:val="32"/>
          <w:szCs w:val="32"/>
        </w:rPr>
      </w:pPr>
      <w:r>
        <w:rPr>
          <w:rFonts w:eastAsia="楷体_GB2312"/>
          <w:b w:val="0"/>
          <w:bCs w:val="0"/>
          <w:color w:val="auto"/>
          <w:sz w:val="32"/>
          <w:szCs w:val="32"/>
        </w:rPr>
        <w:t>1、绩效评价的目的</w:t>
      </w:r>
    </w:p>
    <w:p w14:paraId="6F70EADD">
      <w:pPr>
        <w:pStyle w:val="20"/>
        <w:spacing w:line="560" w:lineRule="exact"/>
        <w:ind w:firstLine="640" w:firstLineChars="200"/>
        <w:rPr>
          <w:rFonts w:eastAsia="方正仿宋_GBK" w:cs="方正仿宋_GBK"/>
          <w:color w:val="auto"/>
          <w:sz w:val="32"/>
          <w:szCs w:val="32"/>
        </w:rPr>
      </w:pPr>
      <w:r>
        <w:rPr>
          <w:rFonts w:eastAsia="仿宋_GB2312"/>
          <w:color w:val="auto"/>
          <w:sz w:val="32"/>
          <w:szCs w:val="32"/>
        </w:rPr>
        <w:t>通过开展有效的财政支出绩效评价管理，</w:t>
      </w:r>
      <w:r>
        <w:rPr>
          <w:rFonts w:hint="eastAsia" w:eastAsia="仿宋_GB2312"/>
          <w:color w:val="auto"/>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6EE47E5C">
      <w:pPr>
        <w:spacing w:line="560" w:lineRule="exact"/>
        <w:ind w:firstLine="640" w:firstLineChars="200"/>
        <w:rPr>
          <w:rFonts w:eastAsia="楷体_GB2312"/>
          <w:b w:val="0"/>
          <w:bCs w:val="0"/>
          <w:color w:val="auto"/>
          <w:sz w:val="32"/>
          <w:szCs w:val="32"/>
        </w:rPr>
      </w:pPr>
      <w:r>
        <w:rPr>
          <w:rFonts w:eastAsia="楷体_GB2312"/>
          <w:b w:val="0"/>
          <w:bCs w:val="0"/>
          <w:color w:val="auto"/>
          <w:sz w:val="32"/>
          <w:szCs w:val="32"/>
        </w:rPr>
        <w:t>2、绩效评价的对象</w:t>
      </w:r>
    </w:p>
    <w:p w14:paraId="4C6E1EEE">
      <w:pPr>
        <w:spacing w:line="560" w:lineRule="exact"/>
        <w:ind w:firstLine="600" w:firstLineChars="200"/>
        <w:rPr>
          <w:rFonts w:hint="eastAsia" w:ascii="仿宋_GB2312" w:hAnsi="仿宋_GB2312" w:eastAsia="仿宋_GB2312" w:cs="仿宋_GB2312"/>
          <w:color w:val="auto"/>
          <w:sz w:val="32"/>
          <w:szCs w:val="32"/>
          <w:lang w:eastAsia="zh-CN"/>
        </w:rPr>
      </w:pPr>
      <w:r>
        <w:rPr>
          <w:rFonts w:hint="default" w:ascii="Times New Roman" w:hAnsi="Times New Roman" w:eastAsia="仿宋_GB2312" w:cs="Times New Roman"/>
          <w:color w:val="auto"/>
          <w:sz w:val="30"/>
          <w:szCs w:val="30"/>
          <w:highlight w:val="none"/>
          <w:lang w:val="en-US" w:eastAsia="zh-CN"/>
        </w:rPr>
        <w:t>2023</w:t>
      </w:r>
      <w:r>
        <w:rPr>
          <w:rFonts w:hint="eastAsia" w:ascii="仿宋_GB2312" w:hAnsi="仿宋_GB2312" w:eastAsia="仿宋_GB2312" w:cs="仿宋_GB2312"/>
          <w:color w:val="auto"/>
          <w:sz w:val="30"/>
          <w:szCs w:val="30"/>
          <w:highlight w:val="none"/>
          <w:lang w:val="en-US" w:eastAsia="zh-CN"/>
        </w:rPr>
        <w:t>年国家和自治区安全生产帮扶指导及监督检查</w:t>
      </w:r>
      <w:r>
        <w:rPr>
          <w:rFonts w:hint="eastAsia" w:ascii="仿宋_GB2312" w:hAnsi="仿宋_GB2312" w:eastAsia="仿宋_GB2312" w:cs="仿宋_GB2312"/>
          <w:color w:val="auto"/>
          <w:sz w:val="32"/>
          <w:szCs w:val="32"/>
        </w:rPr>
        <w:t>项目所包含的全部项目内容</w:t>
      </w:r>
      <w:r>
        <w:rPr>
          <w:rFonts w:hint="eastAsia" w:ascii="仿宋_GB2312" w:hAnsi="仿宋_GB2312" w:eastAsia="仿宋_GB2312" w:cs="仿宋_GB2312"/>
          <w:color w:val="auto"/>
          <w:sz w:val="32"/>
          <w:szCs w:val="32"/>
          <w:lang w:eastAsia="zh-CN"/>
        </w:rPr>
        <w:t>。</w:t>
      </w:r>
    </w:p>
    <w:p w14:paraId="2B436C6B">
      <w:pPr>
        <w:spacing w:line="560" w:lineRule="exact"/>
        <w:ind w:firstLine="640" w:firstLineChars="200"/>
        <w:rPr>
          <w:rFonts w:eastAsia="楷体_GB2312"/>
          <w:b w:val="0"/>
          <w:bCs w:val="0"/>
          <w:color w:val="auto"/>
          <w:sz w:val="32"/>
          <w:szCs w:val="32"/>
        </w:rPr>
      </w:pPr>
      <w:r>
        <w:rPr>
          <w:rFonts w:eastAsia="楷体_GB2312"/>
          <w:b w:val="0"/>
          <w:bCs w:val="0"/>
          <w:color w:val="auto"/>
          <w:sz w:val="32"/>
          <w:szCs w:val="32"/>
        </w:rPr>
        <w:t>3、绩效评价的范围</w:t>
      </w:r>
    </w:p>
    <w:p w14:paraId="48309F25">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本次评价从项目决策（包括</w:t>
      </w:r>
      <w:r>
        <w:rPr>
          <w:rFonts w:hint="eastAsia" w:ascii="仿宋_GB2312" w:hAnsi="仿宋_GB2312" w:eastAsia="仿宋_GB2312" w:cs="仿宋_GB2312"/>
          <w:color w:val="auto"/>
          <w:sz w:val="32"/>
          <w:szCs w:val="32"/>
          <w:lang w:val="en-US" w:eastAsia="zh-CN"/>
        </w:rPr>
        <w:t>项目立项、</w:t>
      </w:r>
      <w:r>
        <w:rPr>
          <w:rFonts w:hint="eastAsia" w:ascii="仿宋_GB2312" w:hAnsi="仿宋_GB2312" w:eastAsia="仿宋_GB2312" w:cs="仿宋_GB2312"/>
          <w:color w:val="auto"/>
          <w:sz w:val="32"/>
          <w:szCs w:val="32"/>
        </w:rPr>
        <w:t>绩效目标、</w:t>
      </w:r>
      <w:r>
        <w:rPr>
          <w:rFonts w:hint="eastAsia" w:ascii="仿宋_GB2312" w:hAnsi="仿宋_GB2312" w:eastAsia="仿宋_GB2312" w:cs="仿宋_GB2312"/>
          <w:color w:val="auto"/>
          <w:sz w:val="32"/>
          <w:szCs w:val="32"/>
          <w:lang w:val="en-US" w:eastAsia="zh-CN"/>
        </w:rPr>
        <w:t>资金投入</w:t>
      </w:r>
      <w:r>
        <w:rPr>
          <w:rFonts w:hint="eastAsia" w:ascii="仿宋_GB2312" w:hAnsi="仿宋_GB2312" w:eastAsia="仿宋_GB2312" w:cs="仿宋_GB2312"/>
          <w:color w:val="auto"/>
          <w:sz w:val="32"/>
          <w:szCs w:val="32"/>
        </w:rPr>
        <w:t>）、项目</w:t>
      </w:r>
      <w:r>
        <w:rPr>
          <w:rFonts w:hint="eastAsia" w:ascii="仿宋_GB2312" w:hAnsi="仿宋_GB2312" w:eastAsia="仿宋_GB2312" w:cs="仿宋_GB2312"/>
          <w:color w:val="auto"/>
          <w:sz w:val="32"/>
          <w:szCs w:val="32"/>
          <w:lang w:val="en-US" w:eastAsia="zh-CN"/>
        </w:rPr>
        <w:t>过程</w:t>
      </w:r>
      <w:r>
        <w:rPr>
          <w:rFonts w:hint="eastAsia" w:ascii="仿宋_GB2312" w:hAnsi="仿宋_GB2312" w:eastAsia="仿宋_GB2312" w:cs="仿宋_GB2312"/>
          <w:color w:val="auto"/>
          <w:sz w:val="32"/>
          <w:szCs w:val="32"/>
        </w:rPr>
        <w:t>（包括资金</w:t>
      </w:r>
      <w:r>
        <w:rPr>
          <w:rFonts w:hint="eastAsia" w:ascii="仿宋_GB2312" w:hAnsi="仿宋_GB2312" w:eastAsia="仿宋_GB2312" w:cs="仿宋_GB2312"/>
          <w:color w:val="auto"/>
          <w:sz w:val="32"/>
          <w:szCs w:val="32"/>
          <w:lang w:val="en-US" w:eastAsia="zh-CN"/>
        </w:rPr>
        <w:t>管理</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组织</w:t>
      </w:r>
      <w:r>
        <w:rPr>
          <w:rFonts w:hint="eastAsia" w:ascii="仿宋_GB2312" w:hAnsi="仿宋_GB2312" w:eastAsia="仿宋_GB2312" w:cs="仿宋_GB2312"/>
          <w:color w:val="auto"/>
          <w:sz w:val="32"/>
          <w:szCs w:val="32"/>
        </w:rPr>
        <w:t>实施）、项目产出（包括项目产出数量、产出质量、产出时效和产出成本）</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项目效益</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实施效益、满意度</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四个维度对</w:t>
      </w:r>
      <w:r>
        <w:rPr>
          <w:rFonts w:hint="default" w:ascii="Times New Roman" w:hAnsi="Times New Roman" w:eastAsia="仿宋_GB2312" w:cs="Times New Roman"/>
          <w:color w:val="auto"/>
          <w:sz w:val="30"/>
          <w:szCs w:val="30"/>
          <w:highlight w:val="none"/>
          <w:lang w:val="en-US" w:eastAsia="zh-CN"/>
        </w:rPr>
        <w:t>2023</w:t>
      </w:r>
      <w:r>
        <w:rPr>
          <w:rFonts w:hint="eastAsia" w:ascii="仿宋_GB2312" w:hAnsi="仿宋_GB2312" w:eastAsia="仿宋_GB2312" w:cs="仿宋_GB2312"/>
          <w:color w:val="auto"/>
          <w:sz w:val="30"/>
          <w:szCs w:val="30"/>
          <w:highlight w:val="none"/>
          <w:lang w:val="en-US" w:eastAsia="zh-CN"/>
        </w:rPr>
        <w:t>年国家和自治区安全生产帮扶指导及监督检查</w:t>
      </w:r>
      <w:r>
        <w:rPr>
          <w:rFonts w:hint="eastAsia" w:ascii="仿宋_GB2312" w:hAnsi="仿宋_GB2312" w:eastAsia="仿宋_GB2312" w:cs="仿宋_GB2312"/>
          <w:color w:val="auto"/>
          <w:sz w:val="32"/>
          <w:szCs w:val="32"/>
        </w:rPr>
        <w:t>项目进行评价，评价核心为</w:t>
      </w:r>
      <w:r>
        <w:rPr>
          <w:rFonts w:hint="eastAsia" w:ascii="仿宋_GB2312" w:hAnsi="仿宋_GB2312" w:eastAsia="仿宋_GB2312" w:cs="仿宋_GB2312"/>
          <w:color w:val="auto"/>
          <w:sz w:val="32"/>
          <w:szCs w:val="32"/>
          <w:lang w:val="en-US" w:eastAsia="zh-CN"/>
        </w:rPr>
        <w:t>项目</w:t>
      </w:r>
      <w:r>
        <w:rPr>
          <w:rFonts w:hint="eastAsia" w:ascii="仿宋_GB2312" w:hAnsi="仿宋_GB2312" w:eastAsia="仿宋_GB2312" w:cs="仿宋_GB2312"/>
          <w:color w:val="auto"/>
          <w:sz w:val="32"/>
          <w:szCs w:val="32"/>
        </w:rPr>
        <w:t>资金的支出完成情况和效果。</w:t>
      </w:r>
    </w:p>
    <w:p w14:paraId="4DB29503">
      <w:pPr>
        <w:spacing w:line="560" w:lineRule="exact"/>
        <w:ind w:firstLine="640" w:firstLineChars="200"/>
        <w:rPr>
          <w:b w:val="0"/>
          <w:bCs w:val="0"/>
          <w:color w:val="auto"/>
        </w:rPr>
      </w:pPr>
      <w:r>
        <w:rPr>
          <w:rFonts w:eastAsia="楷体_GB2312"/>
          <w:b w:val="0"/>
          <w:bCs w:val="0"/>
          <w:color w:val="auto"/>
          <w:sz w:val="32"/>
          <w:szCs w:val="32"/>
        </w:rPr>
        <w:t>（二）绩效评价原则、评价指标体系（详情见表1）、评价方法、评价标准。</w:t>
      </w:r>
    </w:p>
    <w:p w14:paraId="602FCC13">
      <w:pPr>
        <w:spacing w:line="560" w:lineRule="exact"/>
        <w:ind w:firstLine="640" w:firstLineChars="200"/>
        <w:rPr>
          <w:rFonts w:eastAsia="楷体_GB2312"/>
          <w:b w:val="0"/>
          <w:bCs w:val="0"/>
          <w:color w:val="auto"/>
          <w:sz w:val="32"/>
          <w:szCs w:val="32"/>
        </w:rPr>
      </w:pPr>
      <w:r>
        <w:rPr>
          <w:rFonts w:eastAsia="楷体_GB2312"/>
          <w:b w:val="0"/>
          <w:bCs w:val="0"/>
          <w:color w:val="auto"/>
          <w:sz w:val="32"/>
          <w:szCs w:val="32"/>
        </w:rPr>
        <w:t>1、绩效评价原则</w:t>
      </w:r>
    </w:p>
    <w:p w14:paraId="6E557FB9">
      <w:pPr>
        <w:spacing w:line="560" w:lineRule="exact"/>
        <w:ind w:firstLine="640" w:firstLineChars="200"/>
        <w:rPr>
          <w:rFonts w:eastAsia="仿宋_GB2312"/>
          <w:color w:val="auto"/>
          <w:sz w:val="32"/>
          <w:szCs w:val="32"/>
        </w:rPr>
      </w:pPr>
      <w:r>
        <w:rPr>
          <w:rFonts w:eastAsia="仿宋_GB2312"/>
          <w:color w:val="auto"/>
          <w:sz w:val="32"/>
          <w:szCs w:val="32"/>
        </w:rPr>
        <w:t>本次项目绩效评价遵循以下基本原则：</w:t>
      </w:r>
    </w:p>
    <w:p w14:paraId="57D03625">
      <w:pPr>
        <w:pStyle w:val="11"/>
        <w:spacing w:before="0" w:after="0" w:line="560" w:lineRule="exact"/>
        <w:ind w:firstLine="640" w:firstLineChars="200"/>
        <w:jc w:val="both"/>
        <w:outlineLvl w:val="9"/>
        <w:rPr>
          <w:rFonts w:ascii="Times New Roman" w:hAnsi="Times New Roman" w:eastAsia="仿宋_GB2312"/>
          <w:b w:val="0"/>
          <w:bCs w:val="0"/>
          <w:color w:val="auto"/>
        </w:rPr>
      </w:pPr>
      <w:r>
        <w:rPr>
          <w:rFonts w:ascii="Times New Roman" w:hAnsi="Times New Roman" w:eastAsia="仿宋_GB2312"/>
          <w:b w:val="0"/>
          <w:bCs w:val="0"/>
          <w:color w:val="auto"/>
        </w:rPr>
        <w:t>（1）科学公正。绩效评价应当运用科学合理的方法，按照规范的程序，对项目绩效进行客观、公正的反映。</w:t>
      </w:r>
    </w:p>
    <w:p w14:paraId="0382EA68">
      <w:pPr>
        <w:pStyle w:val="11"/>
        <w:spacing w:before="0" w:after="0" w:line="560" w:lineRule="exact"/>
        <w:ind w:firstLine="640" w:firstLineChars="200"/>
        <w:jc w:val="both"/>
        <w:outlineLvl w:val="9"/>
        <w:rPr>
          <w:rFonts w:ascii="Times New Roman" w:hAnsi="Times New Roman" w:eastAsia="仿宋_GB2312"/>
          <w:b w:val="0"/>
          <w:bCs w:val="0"/>
          <w:color w:val="auto"/>
        </w:rPr>
      </w:pPr>
      <w:r>
        <w:rPr>
          <w:rFonts w:ascii="Times New Roman" w:hAnsi="Times New Roman" w:eastAsia="仿宋_GB2312"/>
          <w:b w:val="0"/>
          <w:bCs w:val="0"/>
          <w:color w:val="auto"/>
        </w:rPr>
        <w:t>（2）统筹兼顾。单位自评、部门评价和财政评价应职责明确，各有侧重，相互衔接。单位自评应由项目单位自主实施，即“谁支出、谁自评”。部门评价和财政评价应在单位自评的基础上开展。</w:t>
      </w:r>
    </w:p>
    <w:p w14:paraId="7EA0D475">
      <w:pPr>
        <w:pStyle w:val="11"/>
        <w:spacing w:before="0" w:after="0" w:line="560" w:lineRule="exact"/>
        <w:ind w:firstLine="640" w:firstLineChars="200"/>
        <w:jc w:val="both"/>
        <w:outlineLvl w:val="9"/>
        <w:rPr>
          <w:rFonts w:ascii="Times New Roman" w:hAnsi="Times New Roman" w:eastAsia="仿宋_GB2312"/>
          <w:b w:val="0"/>
          <w:bCs w:val="0"/>
          <w:color w:val="auto"/>
        </w:rPr>
      </w:pPr>
      <w:r>
        <w:rPr>
          <w:rFonts w:ascii="Times New Roman" w:hAnsi="Times New Roman" w:eastAsia="仿宋_GB2312"/>
          <w:b w:val="0"/>
          <w:bCs w:val="0"/>
          <w:color w:val="auto"/>
        </w:rPr>
        <w:t>（3）激励约束。绩效评价结果应与预算安排、政策调整、改进管理实质性挂钩，体现奖优罚劣和激励相容导向，有效要安排、低效要压减、无效要问责。</w:t>
      </w:r>
    </w:p>
    <w:p w14:paraId="3CBA1599">
      <w:pPr>
        <w:pStyle w:val="11"/>
        <w:spacing w:before="0" w:after="0" w:line="560" w:lineRule="exact"/>
        <w:ind w:firstLine="640" w:firstLineChars="200"/>
        <w:jc w:val="both"/>
        <w:outlineLvl w:val="9"/>
        <w:rPr>
          <w:rFonts w:ascii="Times New Roman" w:hAnsi="Times New Roman" w:eastAsia="仿宋_GB2312"/>
          <w:b w:val="0"/>
          <w:bCs w:val="0"/>
          <w:color w:val="auto"/>
        </w:rPr>
      </w:pPr>
      <w:r>
        <w:rPr>
          <w:rFonts w:ascii="Times New Roman" w:hAnsi="Times New Roman" w:eastAsia="仿宋_GB2312"/>
          <w:b w:val="0"/>
          <w:bCs w:val="0"/>
          <w:color w:val="auto"/>
        </w:rPr>
        <w:t>（4）公开透明。绩效评价结果应依法依规公开，并自觉接受社会监督。</w:t>
      </w:r>
    </w:p>
    <w:p w14:paraId="6D337AAB">
      <w:pPr>
        <w:spacing w:line="560" w:lineRule="exact"/>
        <w:ind w:firstLine="640" w:firstLineChars="200"/>
        <w:rPr>
          <w:rFonts w:eastAsia="楷体_GB2312"/>
          <w:b w:val="0"/>
          <w:bCs w:val="0"/>
          <w:color w:val="auto"/>
          <w:sz w:val="32"/>
          <w:szCs w:val="32"/>
        </w:rPr>
      </w:pPr>
      <w:r>
        <w:rPr>
          <w:rFonts w:eastAsia="楷体_GB2312"/>
          <w:b w:val="0"/>
          <w:bCs w:val="0"/>
          <w:color w:val="auto"/>
          <w:sz w:val="32"/>
          <w:szCs w:val="32"/>
        </w:rPr>
        <w:t>2、评价指标体系</w:t>
      </w:r>
    </w:p>
    <w:p w14:paraId="51CD679E">
      <w:pPr>
        <w:spacing w:line="560" w:lineRule="exact"/>
        <w:ind w:firstLine="708" w:firstLineChars="200"/>
        <w:rPr>
          <w:color w:val="auto"/>
          <w:spacing w:val="17"/>
          <w:sz w:val="32"/>
          <w:szCs w:val="32"/>
        </w:rPr>
      </w:pPr>
      <w:r>
        <w:rPr>
          <w:rFonts w:eastAsia="仿宋_GB2312"/>
          <w:color w:val="auto"/>
          <w:spacing w:val="17"/>
          <w:sz w:val="32"/>
          <w:szCs w:val="32"/>
        </w:rPr>
        <w:t>绩效评价框架是开展绩效评价的核心。绩效评价框架包括评价准则、关键评价问题、评价指标、数据来源、数据收集方法等。指标体系建立过程如下：</w:t>
      </w:r>
    </w:p>
    <w:p w14:paraId="30610893">
      <w:pPr>
        <w:spacing w:line="560" w:lineRule="exact"/>
        <w:ind w:firstLine="708" w:firstLineChars="200"/>
        <w:rPr>
          <w:rFonts w:eastAsia="仿宋_GB2312"/>
          <w:color w:val="auto"/>
          <w:spacing w:val="17"/>
          <w:sz w:val="32"/>
          <w:szCs w:val="32"/>
        </w:rPr>
      </w:pPr>
      <w:r>
        <w:rPr>
          <w:rFonts w:eastAsia="仿宋_GB2312"/>
          <w:color w:val="auto"/>
          <w:spacing w:val="17"/>
          <w:sz w:val="32"/>
          <w:szCs w:val="32"/>
        </w:rPr>
        <w:t>（1）确定评价指标</w:t>
      </w:r>
    </w:p>
    <w:p w14:paraId="4A79234F">
      <w:pPr>
        <w:spacing w:line="560" w:lineRule="exact"/>
        <w:ind w:firstLine="708" w:firstLineChars="200"/>
        <w:rPr>
          <w:rFonts w:eastAsia="仿宋_GB2312"/>
          <w:color w:val="auto"/>
          <w:spacing w:val="17"/>
          <w:sz w:val="32"/>
          <w:szCs w:val="32"/>
        </w:rPr>
      </w:pPr>
      <w:r>
        <w:rPr>
          <w:rFonts w:eastAsia="仿宋_GB2312"/>
          <w:color w:val="auto"/>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31CF83A8">
      <w:pPr>
        <w:spacing w:line="560" w:lineRule="exact"/>
        <w:ind w:firstLine="708" w:firstLineChars="200"/>
        <w:rPr>
          <w:rFonts w:eastAsia="仿宋_GB2312"/>
          <w:color w:val="auto"/>
          <w:spacing w:val="17"/>
          <w:sz w:val="32"/>
          <w:szCs w:val="32"/>
        </w:rPr>
      </w:pPr>
      <w:r>
        <w:rPr>
          <w:rFonts w:eastAsia="仿宋_GB2312"/>
          <w:color w:val="auto"/>
          <w:spacing w:val="17"/>
          <w:sz w:val="32"/>
          <w:szCs w:val="32"/>
        </w:rPr>
        <w:t>（2）确定权重</w:t>
      </w:r>
    </w:p>
    <w:p w14:paraId="32D9C460">
      <w:pPr>
        <w:spacing w:line="560" w:lineRule="exact"/>
        <w:ind w:firstLine="708" w:firstLineChars="200"/>
        <w:rPr>
          <w:rFonts w:eastAsia="仿宋_GB2312"/>
          <w:color w:val="auto"/>
          <w:spacing w:val="17"/>
          <w:sz w:val="32"/>
          <w:szCs w:val="32"/>
        </w:rPr>
      </w:pPr>
      <w:r>
        <w:rPr>
          <w:rFonts w:eastAsia="仿宋_GB2312"/>
          <w:color w:val="auto"/>
          <w:spacing w:val="17"/>
          <w:sz w:val="32"/>
          <w:szCs w:val="32"/>
        </w:rPr>
        <w:t>确定各个指标相对于项目总体绩效的权重分值。在绩效评价指标体系中，项目决策权重为20分，项目过程权重为20分，项目产出权重为40分，项目效益权重为20分。</w:t>
      </w:r>
    </w:p>
    <w:p w14:paraId="37CF1FE1">
      <w:pPr>
        <w:spacing w:line="560" w:lineRule="exact"/>
        <w:ind w:firstLine="708" w:firstLineChars="200"/>
        <w:rPr>
          <w:rFonts w:eastAsia="仿宋_GB2312"/>
          <w:color w:val="auto"/>
          <w:spacing w:val="17"/>
          <w:sz w:val="32"/>
          <w:szCs w:val="32"/>
        </w:rPr>
      </w:pPr>
      <w:r>
        <w:rPr>
          <w:rFonts w:eastAsia="仿宋_GB2312"/>
          <w:color w:val="auto"/>
          <w:spacing w:val="17"/>
          <w:sz w:val="32"/>
          <w:szCs w:val="32"/>
        </w:rPr>
        <w:t>（3）确定指标标准值</w:t>
      </w:r>
    </w:p>
    <w:p w14:paraId="2A0F5AB4">
      <w:pPr>
        <w:spacing w:line="560" w:lineRule="exact"/>
        <w:ind w:firstLine="708" w:firstLineChars="200"/>
        <w:rPr>
          <w:rFonts w:eastAsia="仿宋_GB2312"/>
          <w:color w:val="auto"/>
          <w:spacing w:val="17"/>
          <w:sz w:val="32"/>
          <w:szCs w:val="32"/>
        </w:rPr>
      </w:pPr>
      <w:r>
        <w:rPr>
          <w:rFonts w:eastAsia="仿宋_GB2312"/>
          <w:color w:val="auto"/>
          <w:spacing w:val="17"/>
          <w:sz w:val="32"/>
          <w:szCs w:val="32"/>
        </w:rPr>
        <w:t>指标标准值是绩效评价指标的尺度，既要反映同类项目的先进水平，又要符合项目的实际绩效水平。具体采用计划标准等确定此次绩效评价指标标准值。</w:t>
      </w:r>
    </w:p>
    <w:p w14:paraId="15CA285C">
      <w:pPr>
        <w:pStyle w:val="11"/>
        <w:spacing w:before="0" w:after="0" w:line="560" w:lineRule="exact"/>
        <w:ind w:firstLine="708" w:firstLineChars="200"/>
        <w:jc w:val="both"/>
        <w:rPr>
          <w:rFonts w:ascii="Times New Roman" w:hAnsi="Times New Roman" w:eastAsia="仿宋_GB2312"/>
          <w:b w:val="0"/>
          <w:bCs w:val="0"/>
          <w:color w:val="auto"/>
          <w:spacing w:val="17"/>
          <w:kern w:val="2"/>
        </w:rPr>
      </w:pPr>
      <w:r>
        <w:rPr>
          <w:rFonts w:ascii="Times New Roman" w:hAnsi="Times New Roman" w:eastAsia="仿宋_GB2312"/>
          <w:b w:val="0"/>
          <w:bCs w:val="0"/>
          <w:color w:val="auto"/>
          <w:spacing w:val="17"/>
          <w:kern w:val="2"/>
        </w:rPr>
        <w:t>绩效评价总分值100分，根据综合评分结果，评价计分90分</w:t>
      </w:r>
      <w:r>
        <w:rPr>
          <w:rFonts w:hint="eastAsia" w:ascii="Times New Roman" w:hAnsi="Times New Roman" w:eastAsia="仿宋_GB2312"/>
          <w:b w:val="0"/>
          <w:bCs w:val="0"/>
          <w:color w:val="auto"/>
          <w:spacing w:val="17"/>
          <w:kern w:val="2"/>
          <w:lang w:eastAsia="zh-CN"/>
        </w:rPr>
        <w:t>—</w:t>
      </w:r>
      <w:r>
        <w:rPr>
          <w:rFonts w:ascii="Times New Roman" w:hAnsi="Times New Roman" w:eastAsia="仿宋_GB2312"/>
          <w:b w:val="0"/>
          <w:bCs w:val="0"/>
          <w:color w:val="auto"/>
          <w:spacing w:val="17"/>
          <w:kern w:val="2"/>
        </w:rPr>
        <w:t>100分（含90分）对应的评分结果级别为优，80</w:t>
      </w:r>
      <w:r>
        <w:rPr>
          <w:rFonts w:hint="eastAsia" w:ascii="Times New Roman" w:hAnsi="Times New Roman" w:eastAsia="仿宋_GB2312"/>
          <w:b w:val="0"/>
          <w:bCs w:val="0"/>
          <w:color w:val="auto"/>
          <w:spacing w:val="17"/>
          <w:kern w:val="2"/>
          <w:lang w:eastAsia="zh-CN"/>
        </w:rPr>
        <w:t>—</w:t>
      </w:r>
      <w:r>
        <w:rPr>
          <w:rFonts w:ascii="Times New Roman" w:hAnsi="Times New Roman" w:eastAsia="仿宋_GB2312"/>
          <w:b w:val="0"/>
          <w:bCs w:val="0"/>
          <w:color w:val="auto"/>
          <w:spacing w:val="17"/>
          <w:kern w:val="2"/>
        </w:rPr>
        <w:t>90分（含80分）对应的评分结果级别为良，60</w:t>
      </w:r>
      <w:r>
        <w:rPr>
          <w:rFonts w:hint="eastAsia" w:ascii="Times New Roman" w:hAnsi="Times New Roman" w:eastAsia="仿宋_GB2312"/>
          <w:b w:val="0"/>
          <w:bCs w:val="0"/>
          <w:color w:val="auto"/>
          <w:spacing w:val="17"/>
          <w:kern w:val="2"/>
          <w:lang w:eastAsia="zh-CN"/>
        </w:rPr>
        <w:t>—</w:t>
      </w:r>
      <w:r>
        <w:rPr>
          <w:rFonts w:ascii="Times New Roman" w:hAnsi="Times New Roman" w:eastAsia="仿宋_GB2312"/>
          <w:b w:val="0"/>
          <w:bCs w:val="0"/>
          <w:color w:val="auto"/>
          <w:spacing w:val="17"/>
          <w:kern w:val="2"/>
        </w:rPr>
        <w:t>80分（含60分）对应的评分结果级别为中，60分以下对应的评分结果级别为差。</w:t>
      </w:r>
    </w:p>
    <w:p w14:paraId="206F3E05">
      <w:pPr>
        <w:pStyle w:val="11"/>
        <w:widowControl w:val="0"/>
        <w:spacing w:before="0" w:after="0" w:line="560" w:lineRule="exact"/>
        <w:ind w:firstLine="708" w:firstLineChars="200"/>
        <w:jc w:val="both"/>
        <w:outlineLvl w:val="9"/>
        <w:rPr>
          <w:rFonts w:ascii="Times New Roman" w:hAnsi="Times New Roman" w:eastAsia="仿宋_GB2312"/>
          <w:b w:val="0"/>
          <w:bCs w:val="0"/>
          <w:color w:val="auto"/>
          <w:spacing w:val="17"/>
        </w:rPr>
      </w:pPr>
      <w:r>
        <w:rPr>
          <w:rFonts w:ascii="Times New Roman" w:hAnsi="Times New Roman" w:eastAsia="仿宋_GB2312"/>
          <w:b w:val="0"/>
          <w:bCs w:val="0"/>
          <w:color w:val="auto"/>
          <w:spacing w:val="17"/>
        </w:rPr>
        <w:t>具体评价指标体系详情见附件1</w:t>
      </w:r>
    </w:p>
    <w:p w14:paraId="04D266DF">
      <w:pPr>
        <w:spacing w:line="560" w:lineRule="exact"/>
        <w:ind w:firstLine="640" w:firstLineChars="200"/>
        <w:rPr>
          <w:rFonts w:eastAsia="楷体_GB2312"/>
          <w:b w:val="0"/>
          <w:bCs w:val="0"/>
          <w:color w:val="auto"/>
          <w:sz w:val="32"/>
          <w:szCs w:val="32"/>
        </w:rPr>
      </w:pPr>
      <w:r>
        <w:rPr>
          <w:rFonts w:eastAsia="楷体_GB2312"/>
          <w:b w:val="0"/>
          <w:bCs w:val="0"/>
          <w:color w:val="auto"/>
          <w:sz w:val="32"/>
          <w:szCs w:val="32"/>
        </w:rPr>
        <w:t>3、绩效评价方法</w:t>
      </w:r>
    </w:p>
    <w:p w14:paraId="10FABFA5">
      <w:pPr>
        <w:spacing w:line="560" w:lineRule="exact"/>
        <w:ind w:firstLine="708" w:firstLineChars="200"/>
        <w:rPr>
          <w:rFonts w:eastAsia="仿宋_GB2312"/>
          <w:color w:val="auto"/>
          <w:spacing w:val="17"/>
          <w:sz w:val="32"/>
          <w:szCs w:val="32"/>
        </w:rPr>
      </w:pPr>
      <w:r>
        <w:rPr>
          <w:rFonts w:eastAsia="仿宋_GB2312"/>
          <w:color w:val="auto"/>
          <w:spacing w:val="17"/>
          <w:sz w:val="32"/>
          <w:szCs w:val="32"/>
        </w:rPr>
        <w:t>绩效评价从项目决策、项目过程、项目产出、项目效益四个维度进行评价。评价对象为项目目标实施情况，  评价核心为资金的支出完成情况和项目的产出效益。</w:t>
      </w:r>
    </w:p>
    <w:p w14:paraId="2FD8BF2C">
      <w:pPr>
        <w:spacing w:line="560" w:lineRule="exact"/>
        <w:ind w:firstLine="708" w:firstLineChars="200"/>
        <w:rPr>
          <w:rFonts w:eastAsia="仿宋_GB2312"/>
          <w:color w:val="auto"/>
          <w:spacing w:val="17"/>
          <w:sz w:val="32"/>
          <w:szCs w:val="32"/>
        </w:rPr>
      </w:pPr>
      <w:r>
        <w:rPr>
          <w:rFonts w:eastAsia="仿宋_GB2312"/>
          <w:color w:val="auto"/>
          <w:spacing w:val="17"/>
          <w:sz w:val="32"/>
          <w:szCs w:val="32"/>
        </w:rPr>
        <w:t>本次评价指标中，既有定性指标又有定量指标，各类指标因考核内容不同和客观标准不同存在较大差异，因此核定具体指标时采用了不同方法，具体评价方法如下：</w:t>
      </w:r>
    </w:p>
    <w:p w14:paraId="0E75C3E8">
      <w:pPr>
        <w:spacing w:line="560" w:lineRule="exact"/>
        <w:ind w:firstLine="708" w:firstLineChars="200"/>
        <w:rPr>
          <w:rFonts w:eastAsia="仿宋_GB2312"/>
          <w:color w:val="auto"/>
          <w:spacing w:val="17"/>
          <w:sz w:val="32"/>
          <w:szCs w:val="32"/>
        </w:rPr>
      </w:pPr>
      <w:r>
        <w:rPr>
          <w:rFonts w:eastAsia="仿宋_GB2312"/>
          <w:color w:val="auto"/>
          <w:spacing w:val="17"/>
          <w:sz w:val="32"/>
          <w:szCs w:val="32"/>
        </w:rPr>
        <w:t>（1）比较法</w:t>
      </w:r>
    </w:p>
    <w:p w14:paraId="5B172497">
      <w:pPr>
        <w:spacing w:line="560" w:lineRule="exact"/>
        <w:ind w:firstLine="708" w:firstLineChars="200"/>
        <w:rPr>
          <w:rFonts w:eastAsia="仿宋_GB2312"/>
          <w:color w:val="auto"/>
          <w:spacing w:val="17"/>
          <w:sz w:val="32"/>
          <w:szCs w:val="32"/>
        </w:rPr>
      </w:pPr>
      <w:r>
        <w:rPr>
          <w:rFonts w:eastAsia="仿宋_GB2312"/>
          <w:color w:val="auto"/>
          <w:spacing w:val="17"/>
          <w:sz w:val="32"/>
          <w:szCs w:val="32"/>
        </w:rPr>
        <w:t>通过对绩效目标与实施效果、历史与当期情况，综合分析绩效目标实现程度。对</w:t>
      </w:r>
      <w:r>
        <w:rPr>
          <w:rFonts w:eastAsia="仿宋_GB2312"/>
          <w:color w:val="auto"/>
          <w:sz w:val="32"/>
          <w:szCs w:val="32"/>
        </w:rPr>
        <w:t>项目</w:t>
      </w:r>
      <w:r>
        <w:rPr>
          <w:rFonts w:eastAsia="仿宋_GB2312"/>
          <w:color w:val="auto"/>
          <w:spacing w:val="17"/>
          <w:sz w:val="32"/>
          <w:szCs w:val="32"/>
        </w:rPr>
        <w:t>最终验收情况与年度绩效目标对比、预算资金执行情况等相关因素进行比较。</w:t>
      </w:r>
    </w:p>
    <w:p w14:paraId="3D0A48CF">
      <w:pPr>
        <w:spacing w:line="560" w:lineRule="exact"/>
        <w:ind w:firstLine="708" w:firstLineChars="200"/>
        <w:rPr>
          <w:rFonts w:eastAsia="仿宋_GB2312"/>
          <w:color w:val="auto"/>
          <w:spacing w:val="17"/>
          <w:sz w:val="32"/>
          <w:szCs w:val="32"/>
        </w:rPr>
      </w:pPr>
      <w:r>
        <w:rPr>
          <w:rFonts w:eastAsia="仿宋_GB2312"/>
          <w:color w:val="auto"/>
          <w:spacing w:val="17"/>
          <w:sz w:val="32"/>
          <w:szCs w:val="32"/>
        </w:rPr>
        <w:t>（2）因素分析法</w:t>
      </w:r>
    </w:p>
    <w:p w14:paraId="5B3B4CDC">
      <w:pPr>
        <w:spacing w:line="560" w:lineRule="exact"/>
        <w:ind w:firstLine="708" w:firstLineChars="200"/>
        <w:rPr>
          <w:rFonts w:eastAsia="仿宋_GB2312"/>
          <w:color w:val="auto"/>
          <w:spacing w:val="17"/>
          <w:sz w:val="32"/>
          <w:szCs w:val="32"/>
        </w:rPr>
      </w:pPr>
      <w:r>
        <w:rPr>
          <w:rFonts w:eastAsia="仿宋_GB2312"/>
          <w:color w:val="auto"/>
          <w:spacing w:val="17"/>
          <w:sz w:val="32"/>
          <w:szCs w:val="32"/>
        </w:rPr>
        <w:t>通过综合分析影响绩效目标实现、实施效果的内外因素，评价绩效目标实现程度。通过对</w:t>
      </w:r>
      <w:r>
        <w:rPr>
          <w:rFonts w:eastAsia="仿宋_GB2312"/>
          <w:color w:val="auto"/>
          <w:sz w:val="32"/>
          <w:szCs w:val="32"/>
        </w:rPr>
        <w:t>项目</w:t>
      </w:r>
      <w:r>
        <w:rPr>
          <w:rFonts w:eastAsia="仿宋_GB2312"/>
          <w:color w:val="auto"/>
          <w:spacing w:val="17"/>
          <w:sz w:val="32"/>
          <w:szCs w:val="32"/>
        </w:rPr>
        <w:t>的开展情况、项目产出数量、成本控制、资金拨付文件及自评报告等相关资料的收集和审核，综合分析各因素对绩效目标实现的影响。</w:t>
      </w:r>
    </w:p>
    <w:p w14:paraId="35A3B7D1">
      <w:pPr>
        <w:pStyle w:val="11"/>
        <w:widowControl w:val="0"/>
        <w:spacing w:before="0" w:after="0" w:line="560" w:lineRule="exact"/>
        <w:ind w:firstLine="640" w:firstLineChars="200"/>
        <w:jc w:val="both"/>
        <w:outlineLvl w:val="9"/>
        <w:rPr>
          <w:rFonts w:ascii="Times New Roman" w:hAnsi="Times New Roman" w:eastAsia="仿宋_GB2312"/>
          <w:b w:val="0"/>
          <w:bCs w:val="0"/>
          <w:color w:val="auto"/>
        </w:rPr>
      </w:pPr>
      <w:r>
        <w:rPr>
          <w:rFonts w:ascii="Times New Roman" w:hAnsi="Times New Roman" w:eastAsia="仿宋_GB2312"/>
          <w:b w:val="0"/>
          <w:bCs w:val="0"/>
          <w:color w:val="auto"/>
        </w:rPr>
        <w:t>4、评价标准</w:t>
      </w:r>
    </w:p>
    <w:p w14:paraId="1E0483D9">
      <w:pPr>
        <w:spacing w:line="560" w:lineRule="exact"/>
        <w:ind w:firstLine="708" w:firstLineChars="200"/>
        <w:rPr>
          <w:rFonts w:eastAsia="仿宋_GB2312"/>
          <w:color w:val="auto"/>
          <w:spacing w:val="17"/>
          <w:sz w:val="32"/>
          <w:szCs w:val="32"/>
        </w:rPr>
      </w:pPr>
      <w:r>
        <w:rPr>
          <w:rFonts w:hint="eastAsia" w:eastAsia="仿宋_GB2312"/>
          <w:color w:val="auto"/>
          <w:spacing w:val="17"/>
          <w:sz w:val="32"/>
          <w:szCs w:val="32"/>
        </w:rPr>
        <w:t>绩效评价标准通常包括计划标准、行业标准、历史标准等，用于对绩效指标完成情况进行比较、分析、评价。</w:t>
      </w:r>
      <w:r>
        <w:rPr>
          <w:rFonts w:hint="eastAsia" w:eastAsia="仿宋_GB2312"/>
          <w:color w:val="auto"/>
          <w:spacing w:val="17"/>
          <w:sz w:val="32"/>
          <w:szCs w:val="32"/>
          <w:highlight w:val="none"/>
        </w:rPr>
        <w:t>本次评价主要采用了</w:t>
      </w:r>
      <w:r>
        <w:rPr>
          <w:rFonts w:hint="eastAsia" w:eastAsia="仿宋_GB2312"/>
          <w:color w:val="auto"/>
          <w:spacing w:val="17"/>
          <w:sz w:val="32"/>
          <w:szCs w:val="32"/>
          <w:highlight w:val="none"/>
          <w:lang w:val="en-US" w:eastAsia="zh-CN"/>
        </w:rPr>
        <w:t>计划</w:t>
      </w:r>
      <w:r>
        <w:rPr>
          <w:rFonts w:hint="eastAsia" w:eastAsia="仿宋_GB2312"/>
          <w:color w:val="auto"/>
          <w:spacing w:val="17"/>
          <w:sz w:val="32"/>
          <w:szCs w:val="32"/>
          <w:highlight w:val="none"/>
        </w:rPr>
        <w:t>标准</w:t>
      </w:r>
      <w:r>
        <w:rPr>
          <w:rFonts w:hint="eastAsia" w:eastAsia="仿宋_GB2312"/>
          <w:color w:val="auto"/>
          <w:spacing w:val="17"/>
          <w:sz w:val="32"/>
          <w:szCs w:val="32"/>
        </w:rPr>
        <w:t>。</w:t>
      </w:r>
    </w:p>
    <w:p w14:paraId="51FC6D41">
      <w:pPr>
        <w:spacing w:line="560" w:lineRule="exact"/>
        <w:ind w:firstLine="711" w:firstLineChars="200"/>
        <w:rPr>
          <w:rFonts w:eastAsia="仿宋_GB2312"/>
          <w:color w:val="auto"/>
          <w:spacing w:val="17"/>
          <w:sz w:val="32"/>
          <w:szCs w:val="32"/>
        </w:rPr>
      </w:pPr>
      <w:bookmarkStart w:id="0" w:name="_Toc17882"/>
      <w:bookmarkStart w:id="1" w:name="_Toc31464"/>
      <w:r>
        <w:rPr>
          <w:rFonts w:hint="eastAsia" w:eastAsia="仿宋_GB2312"/>
          <w:b/>
          <w:bCs/>
          <w:color w:val="auto"/>
          <w:spacing w:val="17"/>
          <w:sz w:val="32"/>
          <w:szCs w:val="32"/>
        </w:rPr>
        <w:t>计划标准：</w:t>
      </w:r>
      <w:r>
        <w:rPr>
          <w:rFonts w:hint="eastAsia" w:eastAsia="仿宋_GB2312"/>
          <w:color w:val="auto"/>
          <w:spacing w:val="17"/>
          <w:sz w:val="32"/>
          <w:szCs w:val="32"/>
        </w:rPr>
        <w:t>指以预先制定的目标、计划、预算、定额等作为评价标准。</w:t>
      </w:r>
      <w:bookmarkEnd w:id="0"/>
      <w:bookmarkEnd w:id="1"/>
    </w:p>
    <w:p w14:paraId="7E023C61">
      <w:pPr>
        <w:pStyle w:val="11"/>
        <w:numPr>
          <w:ilvl w:val="0"/>
          <w:numId w:val="1"/>
        </w:numPr>
        <w:spacing w:before="0" w:after="0" w:line="560" w:lineRule="exact"/>
        <w:ind w:firstLine="708" w:firstLineChars="200"/>
        <w:jc w:val="both"/>
        <w:rPr>
          <w:rFonts w:hint="eastAsia" w:ascii="楷体_GB2312" w:hAnsi="楷体_GB2312" w:eastAsia="楷体_GB2312" w:cs="楷体_GB2312"/>
          <w:b w:val="0"/>
          <w:bCs w:val="0"/>
          <w:color w:val="auto"/>
          <w:spacing w:val="17"/>
        </w:rPr>
      </w:pPr>
      <w:r>
        <w:rPr>
          <w:rFonts w:hint="eastAsia" w:ascii="楷体_GB2312" w:hAnsi="楷体_GB2312" w:eastAsia="楷体_GB2312" w:cs="楷体_GB2312"/>
          <w:b w:val="0"/>
          <w:bCs w:val="0"/>
          <w:color w:val="auto"/>
          <w:spacing w:val="17"/>
        </w:rPr>
        <w:t>绩效评价工作过程</w:t>
      </w:r>
    </w:p>
    <w:p w14:paraId="2044A1B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1.</w:t>
      </w:r>
      <w:r>
        <w:rPr>
          <w:rFonts w:hint="eastAsia" w:eastAsia="仿宋_GB2312"/>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71ECCB3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245E0EE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3EA35666">
      <w:pPr>
        <w:numPr>
          <w:ilvl w:val="0"/>
          <w:numId w:val="2"/>
        </w:numPr>
        <w:spacing w:line="560" w:lineRule="exact"/>
        <w:ind w:firstLine="640" w:firstLineChars="200"/>
        <w:rPr>
          <w:rFonts w:eastAsia="黑体"/>
          <w:color w:val="auto"/>
          <w:sz w:val="32"/>
          <w:szCs w:val="32"/>
        </w:rPr>
      </w:pPr>
      <w:r>
        <w:rPr>
          <w:rFonts w:eastAsia="黑体"/>
          <w:color w:val="auto"/>
          <w:sz w:val="32"/>
          <w:szCs w:val="32"/>
        </w:rPr>
        <w:t>综合评价情况及评价结论（附相关评分表）</w:t>
      </w:r>
    </w:p>
    <w:p w14:paraId="16F1C2E3">
      <w:pPr>
        <w:pStyle w:val="11"/>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Fonts w:hint="eastAsia" w:ascii="Times New Roman" w:hAnsi="Times New Roman" w:eastAsia="楷体_GB2312"/>
          <w:b w:val="0"/>
          <w:bCs w:val="0"/>
          <w:color w:val="auto"/>
          <w:lang w:val="en-US" w:eastAsia="zh-CN"/>
        </w:rPr>
      </w:pPr>
      <w:r>
        <w:rPr>
          <w:rFonts w:hint="eastAsia" w:ascii="Times New Roman" w:hAnsi="Times New Roman" w:eastAsia="楷体_GB2312"/>
          <w:b w:val="0"/>
          <w:bCs w:val="0"/>
          <w:color w:val="auto"/>
          <w:lang w:eastAsia="zh-CN"/>
        </w:rPr>
        <w:t>（</w:t>
      </w:r>
      <w:r>
        <w:rPr>
          <w:rFonts w:hint="eastAsia" w:ascii="Times New Roman" w:hAnsi="Times New Roman" w:eastAsia="楷体_GB2312"/>
          <w:b w:val="0"/>
          <w:bCs w:val="0"/>
          <w:color w:val="auto"/>
          <w:lang w:val="en-US" w:eastAsia="zh-CN"/>
        </w:rPr>
        <w:t>一</w:t>
      </w:r>
      <w:r>
        <w:rPr>
          <w:rFonts w:hint="eastAsia" w:ascii="Times New Roman" w:hAnsi="Times New Roman" w:eastAsia="楷体_GB2312"/>
          <w:b w:val="0"/>
          <w:bCs w:val="0"/>
          <w:color w:val="auto"/>
          <w:lang w:eastAsia="zh-CN"/>
        </w:rPr>
        <w:t>）</w:t>
      </w:r>
      <w:r>
        <w:rPr>
          <w:rFonts w:hint="eastAsia" w:ascii="Times New Roman" w:hAnsi="Times New Roman" w:eastAsia="楷体_GB2312"/>
          <w:b w:val="0"/>
          <w:bCs w:val="0"/>
          <w:color w:val="auto"/>
          <w:lang w:val="en-US" w:eastAsia="zh-CN"/>
        </w:rPr>
        <w:t>评价情况</w:t>
      </w:r>
    </w:p>
    <w:p w14:paraId="579A6EBD">
      <w:pPr>
        <w:shd w:val="clear"/>
        <w:spacing w:line="600" w:lineRule="exact"/>
        <w:ind w:firstLine="640" w:firstLineChars="200"/>
        <w:outlineLvl w:val="0"/>
        <w:rPr>
          <w:rFonts w:hint="default" w:ascii="Times New Roman" w:hAnsi="Times New Roman" w:eastAsia="仿宋_GB2312" w:cs="Times New Roman"/>
          <w:b w:val="0"/>
          <w:bCs w:val="0"/>
          <w:color w:val="auto"/>
          <w:kern w:val="28"/>
          <w:sz w:val="32"/>
          <w:szCs w:val="32"/>
          <w:lang w:val="en-US" w:eastAsia="zh-CN" w:bidi="ar-SA"/>
        </w:rPr>
      </w:pPr>
      <w:r>
        <w:rPr>
          <w:rFonts w:hint="eastAsia" w:ascii="Times New Roman" w:hAnsi="Times New Roman" w:eastAsia="仿宋_GB2312" w:cs="Times New Roman"/>
          <w:b w:val="0"/>
          <w:bCs w:val="0"/>
          <w:color w:val="auto"/>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42370FBE">
      <w:pPr>
        <w:pStyle w:val="11"/>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Fonts w:hint="eastAsia" w:ascii="Times New Roman" w:hAnsi="Times New Roman" w:eastAsia="楷体_GB2312"/>
          <w:b w:val="0"/>
          <w:bCs w:val="0"/>
          <w:color w:val="auto"/>
          <w:lang w:val="en-US" w:eastAsia="zh-CN"/>
        </w:rPr>
      </w:pPr>
      <w:r>
        <w:rPr>
          <w:rFonts w:hint="eastAsia" w:ascii="Times New Roman" w:hAnsi="Times New Roman" w:eastAsia="楷体_GB2312"/>
          <w:b w:val="0"/>
          <w:bCs w:val="0"/>
          <w:color w:val="auto"/>
          <w:lang w:eastAsia="zh-CN"/>
        </w:rPr>
        <w:t>（</w:t>
      </w:r>
      <w:r>
        <w:rPr>
          <w:rFonts w:hint="eastAsia" w:ascii="Times New Roman" w:hAnsi="Times New Roman" w:eastAsia="楷体_GB2312"/>
          <w:b w:val="0"/>
          <w:bCs w:val="0"/>
          <w:color w:val="auto"/>
          <w:lang w:val="en-US" w:eastAsia="zh-CN"/>
        </w:rPr>
        <w:t>二</w:t>
      </w:r>
      <w:r>
        <w:rPr>
          <w:rFonts w:hint="eastAsia" w:ascii="Times New Roman" w:hAnsi="Times New Roman" w:eastAsia="楷体_GB2312"/>
          <w:b w:val="0"/>
          <w:bCs w:val="0"/>
          <w:color w:val="auto"/>
          <w:lang w:eastAsia="zh-CN"/>
        </w:rPr>
        <w:t>）</w:t>
      </w:r>
      <w:r>
        <w:rPr>
          <w:rFonts w:hint="eastAsia" w:ascii="Times New Roman" w:hAnsi="Times New Roman" w:eastAsia="楷体_GB2312"/>
          <w:b w:val="0"/>
          <w:bCs w:val="0"/>
          <w:color w:val="auto"/>
          <w:lang w:val="en-US" w:eastAsia="zh-CN"/>
        </w:rPr>
        <w:t>评价结论</w:t>
      </w:r>
    </w:p>
    <w:p w14:paraId="73A123ED">
      <w:pPr>
        <w:pStyle w:val="11"/>
        <w:widowControl w:val="0"/>
        <w:spacing w:before="0" w:after="0" w:line="560" w:lineRule="exact"/>
        <w:ind w:firstLine="640" w:firstLineChars="200"/>
        <w:jc w:val="both"/>
        <w:outlineLvl w:val="9"/>
        <w:rPr>
          <w:rFonts w:hint="eastAsia" w:ascii="Times New Roman" w:hAnsi="Times New Roman" w:eastAsia="仿宋_GB2312"/>
          <w:b w:val="0"/>
          <w:bCs w:val="0"/>
          <w:color w:val="auto"/>
          <w:lang w:eastAsia="zh-CN"/>
        </w:rPr>
      </w:pPr>
      <w:r>
        <w:rPr>
          <w:rFonts w:hint="eastAsia" w:ascii="Times New Roman" w:hAnsi="Times New Roman" w:eastAsia="仿宋_GB2312"/>
          <w:b w:val="0"/>
          <w:bCs w:val="0"/>
          <w:color w:val="auto"/>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auto"/>
          <w:highlight w:val="none"/>
        </w:rPr>
        <w:t>总得分为</w:t>
      </w:r>
      <w:r>
        <w:rPr>
          <w:rFonts w:hint="eastAsia" w:ascii="Times New Roman" w:hAnsi="Times New Roman" w:eastAsia="仿宋_GB2312"/>
          <w:b w:val="0"/>
          <w:bCs w:val="0"/>
          <w:color w:val="auto"/>
          <w:highlight w:val="none"/>
          <w:lang w:val="en-US" w:eastAsia="zh-CN"/>
        </w:rPr>
        <w:t>99.37</w:t>
      </w:r>
      <w:r>
        <w:rPr>
          <w:rFonts w:hint="eastAsia" w:ascii="Times New Roman" w:hAnsi="Times New Roman" w:eastAsia="仿宋_GB2312"/>
          <w:b w:val="0"/>
          <w:bCs w:val="0"/>
          <w:color w:val="auto"/>
          <w:highlight w:val="none"/>
        </w:rPr>
        <w:t>分，属于“优”。其中，项目决策类指标权重为20分，得分为</w:t>
      </w:r>
      <w:r>
        <w:rPr>
          <w:rFonts w:hint="eastAsia" w:ascii="Times New Roman" w:hAnsi="Times New Roman" w:eastAsia="仿宋_GB2312"/>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ascii="Times New Roman" w:hAnsi="Times New Roman" w:eastAsia="仿宋_GB2312"/>
          <w:b w:val="0"/>
          <w:bCs w:val="0"/>
          <w:color w:val="auto"/>
          <w:highlight w:val="none"/>
          <w:lang w:val="en-US" w:eastAsia="zh-CN"/>
        </w:rPr>
        <w:t>100</w:t>
      </w:r>
      <w:r>
        <w:rPr>
          <w:rFonts w:hint="eastAsia" w:ascii="Times New Roman" w:hAnsi="Times New Roman" w:eastAsia="仿宋_GB2312"/>
          <w:b w:val="0"/>
          <w:bCs w:val="0"/>
          <w:color w:val="auto"/>
          <w:highlight w:val="none"/>
        </w:rPr>
        <w:t>%。项目过程类指标权重为20分，得分为</w:t>
      </w:r>
      <w:r>
        <w:rPr>
          <w:rFonts w:hint="eastAsia" w:ascii="Times New Roman" w:hAnsi="Times New Roman" w:eastAsia="仿宋_GB2312"/>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lang w:val="en-US" w:eastAsia="zh-CN"/>
        </w:rPr>
        <w:t>100</w:t>
      </w:r>
      <w:r>
        <w:rPr>
          <w:rFonts w:hint="eastAsia" w:ascii="Times New Roman" w:hAnsi="Times New Roman" w:eastAsia="仿宋_GB2312"/>
          <w:b w:val="0"/>
          <w:bCs w:val="0"/>
          <w:color w:val="auto"/>
          <w:highlight w:val="none"/>
        </w:rPr>
        <w:t>%。项目产出类指标权重为40分，得分为</w:t>
      </w:r>
      <w:r>
        <w:rPr>
          <w:rFonts w:hint="eastAsia" w:ascii="Times New Roman" w:hAnsi="Times New Roman" w:eastAsia="仿宋_GB2312"/>
          <w:b w:val="0"/>
          <w:bCs w:val="0"/>
          <w:color w:val="auto"/>
          <w:highlight w:val="none"/>
          <w:lang w:val="en-US" w:eastAsia="zh-CN"/>
        </w:rPr>
        <w:t>39.37</w:t>
      </w:r>
      <w:r>
        <w:rPr>
          <w:rFonts w:hint="eastAsia" w:ascii="Times New Roman" w:hAnsi="Times New Roman" w:eastAsia="仿宋_GB2312"/>
          <w:b w:val="0"/>
          <w:bCs w:val="0"/>
          <w:color w:val="auto"/>
          <w:highlight w:val="none"/>
        </w:rPr>
        <w:t xml:space="preserve">分，得分率为 </w:t>
      </w:r>
      <w:r>
        <w:rPr>
          <w:rFonts w:hint="eastAsia" w:ascii="Times New Roman" w:hAnsi="Times New Roman" w:eastAsia="仿宋_GB2312"/>
          <w:b w:val="0"/>
          <w:bCs w:val="0"/>
          <w:color w:val="auto"/>
          <w:highlight w:val="none"/>
          <w:lang w:val="en-US" w:eastAsia="zh-CN"/>
        </w:rPr>
        <w:t>98.43</w:t>
      </w:r>
      <w:r>
        <w:rPr>
          <w:rFonts w:hint="eastAsia" w:ascii="Times New Roman" w:hAnsi="Times New Roman" w:eastAsia="仿宋_GB2312"/>
          <w:b w:val="0"/>
          <w:bCs w:val="0"/>
          <w:color w:val="auto"/>
          <w:highlight w:val="none"/>
        </w:rPr>
        <w:t>%。项目效益类指标权重为20分，得分为</w:t>
      </w:r>
      <w:r>
        <w:rPr>
          <w:rFonts w:hint="eastAsia" w:ascii="Times New Roman" w:hAnsi="Times New Roman" w:eastAsia="仿宋_GB2312"/>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lang w:val="en-US" w:eastAsia="zh-CN"/>
        </w:rPr>
        <w:t>100</w:t>
      </w:r>
      <w:r>
        <w:rPr>
          <w:rFonts w:hint="eastAsia" w:ascii="Times New Roman" w:hAnsi="Times New Roman" w:eastAsia="仿宋_GB2312"/>
          <w:b w:val="0"/>
          <w:bCs w:val="0"/>
          <w:color w:val="auto"/>
          <w:highlight w:val="none"/>
        </w:rPr>
        <w:t>%。</w:t>
      </w:r>
      <w:r>
        <w:rPr>
          <w:rFonts w:hint="eastAsia" w:ascii="Times New Roman" w:hAnsi="Times New Roman" w:eastAsia="仿宋_GB2312"/>
          <w:b w:val="0"/>
          <w:bCs w:val="0"/>
          <w:color w:val="auto"/>
        </w:rPr>
        <w:t>具体打分情况详见：附件1综合评分表</w:t>
      </w:r>
      <w:r>
        <w:rPr>
          <w:rFonts w:hint="eastAsia" w:ascii="Times New Roman" w:hAnsi="Times New Roman" w:eastAsia="仿宋_GB2312"/>
          <w:b w:val="0"/>
          <w:bCs w:val="0"/>
          <w:color w:val="auto"/>
          <w:lang w:eastAsia="zh-CN"/>
        </w:rPr>
        <w:t>。</w:t>
      </w:r>
    </w:p>
    <w:p w14:paraId="60E71AE5">
      <w:pPr>
        <w:pStyle w:val="11"/>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color w:val="auto"/>
          <w:sz w:val="30"/>
          <w:szCs w:val="30"/>
        </w:rPr>
      </w:pPr>
      <w:r>
        <w:rPr>
          <w:rFonts w:ascii="Times New Roman" w:hAnsi="Times New Roman" w:eastAsia="仿宋_GB2312"/>
          <w:color w:val="auto"/>
          <w:sz w:val="30"/>
          <w:szCs w:val="30"/>
        </w:rPr>
        <w:t>表1综合评分表</w:t>
      </w:r>
    </w:p>
    <w:tbl>
      <w:tblPr>
        <w:tblStyle w:val="15"/>
        <w:tblW w:w="4997" w:type="pct"/>
        <w:jc w:val="center"/>
        <w:tblLayout w:type="autofit"/>
        <w:tblCellMar>
          <w:top w:w="0" w:type="dxa"/>
          <w:left w:w="108" w:type="dxa"/>
          <w:bottom w:w="0" w:type="dxa"/>
          <w:right w:w="108" w:type="dxa"/>
        </w:tblCellMar>
      </w:tblPr>
      <w:tblGrid>
        <w:gridCol w:w="3623"/>
        <w:gridCol w:w="2674"/>
        <w:gridCol w:w="2462"/>
      </w:tblGrid>
      <w:tr w14:paraId="4FBBDC77">
        <w:tblPrEx>
          <w:tblCellMar>
            <w:top w:w="0" w:type="dxa"/>
            <w:left w:w="108" w:type="dxa"/>
            <w:bottom w:w="0" w:type="dxa"/>
            <w:right w:w="108" w:type="dxa"/>
          </w:tblCellMar>
        </w:tblPrEx>
        <w:trPr>
          <w:trHeight w:val="448" w:hRule="atLeast"/>
          <w:tblHeader/>
          <w:jc w:val="center"/>
        </w:trPr>
        <w:tc>
          <w:tcPr>
            <w:tcW w:w="2068" w:type="pct"/>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556A61F0">
            <w:pPr>
              <w:jc w:val="center"/>
              <w:rPr>
                <w:b/>
                <w:bCs/>
                <w:color w:val="auto"/>
                <w:sz w:val="22"/>
              </w:rPr>
            </w:pPr>
            <w:r>
              <w:rPr>
                <w:rFonts w:hint="eastAsia"/>
                <w:b/>
                <w:bCs/>
                <w:color w:val="auto"/>
                <w:sz w:val="22"/>
              </w:rPr>
              <w:t>一级指标</w:t>
            </w:r>
          </w:p>
        </w:tc>
        <w:tc>
          <w:tcPr>
            <w:tcW w:w="1526" w:type="pct"/>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65124DC">
            <w:pPr>
              <w:jc w:val="center"/>
              <w:rPr>
                <w:b/>
                <w:bCs/>
                <w:color w:val="auto"/>
                <w:sz w:val="22"/>
              </w:rPr>
            </w:pPr>
            <w:r>
              <w:rPr>
                <w:rFonts w:hint="eastAsia"/>
                <w:b/>
                <w:bCs/>
                <w:color w:val="auto"/>
                <w:sz w:val="22"/>
              </w:rPr>
              <w:t>权重分</w:t>
            </w:r>
          </w:p>
        </w:tc>
        <w:tc>
          <w:tcPr>
            <w:tcW w:w="1405" w:type="pct"/>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855EA93">
            <w:pPr>
              <w:jc w:val="center"/>
              <w:rPr>
                <w:b/>
                <w:bCs/>
                <w:color w:val="auto"/>
                <w:sz w:val="22"/>
              </w:rPr>
            </w:pPr>
            <w:r>
              <w:rPr>
                <w:rFonts w:hint="eastAsia"/>
                <w:b/>
                <w:bCs/>
                <w:color w:val="auto"/>
                <w:sz w:val="22"/>
              </w:rPr>
              <w:t>得分</w:t>
            </w:r>
          </w:p>
        </w:tc>
      </w:tr>
      <w:tr w14:paraId="4E5AFF34">
        <w:tblPrEx>
          <w:tblCellMar>
            <w:top w:w="0" w:type="dxa"/>
            <w:left w:w="108" w:type="dxa"/>
            <w:bottom w:w="0" w:type="dxa"/>
            <w:right w:w="108" w:type="dxa"/>
          </w:tblCellMar>
        </w:tblPrEx>
        <w:trPr>
          <w:trHeight w:val="340" w:hRule="atLeast"/>
          <w:jc w:val="center"/>
        </w:trPr>
        <w:tc>
          <w:tcPr>
            <w:tcW w:w="2068" w:type="pct"/>
            <w:tcBorders>
              <w:top w:val="nil"/>
              <w:left w:val="single" w:color="auto" w:sz="4" w:space="0"/>
              <w:bottom w:val="single" w:color="auto" w:sz="4" w:space="0"/>
              <w:right w:val="single" w:color="auto" w:sz="4" w:space="0"/>
            </w:tcBorders>
            <w:shd w:val="clear" w:color="auto" w:fill="auto"/>
            <w:vAlign w:val="center"/>
          </w:tcPr>
          <w:p w14:paraId="7F78B8CF">
            <w:pPr>
              <w:jc w:val="center"/>
              <w:rPr>
                <w:color w:val="auto"/>
                <w:sz w:val="22"/>
              </w:rPr>
            </w:pPr>
            <w:r>
              <w:rPr>
                <w:rFonts w:hint="eastAsia"/>
                <w:color w:val="auto"/>
                <w:sz w:val="22"/>
              </w:rPr>
              <w:t>项目决策</w:t>
            </w:r>
          </w:p>
        </w:tc>
        <w:tc>
          <w:tcPr>
            <w:tcW w:w="1526" w:type="pct"/>
            <w:tcBorders>
              <w:top w:val="nil"/>
              <w:left w:val="nil"/>
              <w:bottom w:val="single" w:color="auto" w:sz="4" w:space="0"/>
              <w:right w:val="single" w:color="auto" w:sz="4" w:space="0"/>
            </w:tcBorders>
            <w:shd w:val="clear" w:color="auto" w:fill="auto"/>
            <w:vAlign w:val="center"/>
          </w:tcPr>
          <w:p w14:paraId="7B6394F1">
            <w:pPr>
              <w:jc w:val="center"/>
              <w:rPr>
                <w:rFonts w:hint="default" w:eastAsia="宋体"/>
                <w:color w:val="auto"/>
                <w:sz w:val="22"/>
                <w:lang w:val="en-US" w:eastAsia="zh-CN"/>
              </w:rPr>
            </w:pPr>
            <w:r>
              <w:rPr>
                <w:rFonts w:hint="eastAsia"/>
                <w:color w:val="auto"/>
                <w:sz w:val="22"/>
                <w:lang w:val="en-US" w:eastAsia="zh-CN"/>
              </w:rPr>
              <w:t>20</w:t>
            </w:r>
          </w:p>
        </w:tc>
        <w:tc>
          <w:tcPr>
            <w:tcW w:w="1405" w:type="pct"/>
            <w:tcBorders>
              <w:top w:val="nil"/>
              <w:left w:val="nil"/>
              <w:bottom w:val="single" w:color="auto" w:sz="4" w:space="0"/>
              <w:right w:val="single" w:color="auto" w:sz="4" w:space="0"/>
            </w:tcBorders>
            <w:shd w:val="clear" w:color="auto" w:fill="auto"/>
            <w:vAlign w:val="center"/>
          </w:tcPr>
          <w:p w14:paraId="65341AB8">
            <w:pPr>
              <w:jc w:val="center"/>
              <w:rPr>
                <w:rFonts w:hint="default" w:eastAsia="宋体"/>
                <w:color w:val="auto"/>
                <w:sz w:val="22"/>
                <w:lang w:val="en-US" w:eastAsia="zh-CN"/>
              </w:rPr>
            </w:pPr>
            <w:r>
              <w:rPr>
                <w:rFonts w:hint="eastAsia"/>
                <w:color w:val="auto"/>
                <w:sz w:val="22"/>
                <w:lang w:val="en-US" w:eastAsia="zh-CN"/>
              </w:rPr>
              <w:t>20</w:t>
            </w:r>
          </w:p>
        </w:tc>
      </w:tr>
      <w:tr w14:paraId="0C352E0D">
        <w:tblPrEx>
          <w:tblCellMar>
            <w:top w:w="0" w:type="dxa"/>
            <w:left w:w="108" w:type="dxa"/>
            <w:bottom w:w="0" w:type="dxa"/>
            <w:right w:w="108" w:type="dxa"/>
          </w:tblCellMar>
        </w:tblPrEx>
        <w:trPr>
          <w:trHeight w:val="340" w:hRule="atLeast"/>
          <w:jc w:val="center"/>
        </w:trPr>
        <w:tc>
          <w:tcPr>
            <w:tcW w:w="2068" w:type="pct"/>
            <w:tcBorders>
              <w:top w:val="nil"/>
              <w:left w:val="single" w:color="auto" w:sz="4" w:space="0"/>
              <w:bottom w:val="single" w:color="auto" w:sz="4" w:space="0"/>
              <w:right w:val="single" w:color="auto" w:sz="4" w:space="0"/>
            </w:tcBorders>
            <w:shd w:val="clear" w:color="auto" w:fill="auto"/>
            <w:vAlign w:val="center"/>
          </w:tcPr>
          <w:p w14:paraId="7A8E270E">
            <w:pPr>
              <w:jc w:val="center"/>
              <w:rPr>
                <w:color w:val="auto"/>
                <w:sz w:val="22"/>
              </w:rPr>
            </w:pPr>
            <w:r>
              <w:rPr>
                <w:rFonts w:hint="eastAsia"/>
                <w:color w:val="auto"/>
                <w:sz w:val="22"/>
              </w:rPr>
              <w:t>项目过程</w:t>
            </w:r>
          </w:p>
        </w:tc>
        <w:tc>
          <w:tcPr>
            <w:tcW w:w="1526" w:type="pct"/>
            <w:tcBorders>
              <w:top w:val="nil"/>
              <w:left w:val="nil"/>
              <w:bottom w:val="single" w:color="auto" w:sz="4" w:space="0"/>
              <w:right w:val="single" w:color="auto" w:sz="4" w:space="0"/>
            </w:tcBorders>
            <w:shd w:val="clear" w:color="auto" w:fill="auto"/>
            <w:vAlign w:val="center"/>
          </w:tcPr>
          <w:p w14:paraId="7BF628F8">
            <w:pPr>
              <w:jc w:val="center"/>
              <w:rPr>
                <w:rFonts w:hint="default" w:eastAsia="宋体"/>
                <w:color w:val="auto"/>
                <w:sz w:val="22"/>
                <w:lang w:val="en-US" w:eastAsia="zh-CN"/>
              </w:rPr>
            </w:pPr>
            <w:r>
              <w:rPr>
                <w:rFonts w:hint="eastAsia"/>
                <w:color w:val="auto"/>
                <w:sz w:val="22"/>
                <w:lang w:val="en-US" w:eastAsia="zh-CN"/>
              </w:rPr>
              <w:t>20</w:t>
            </w:r>
          </w:p>
        </w:tc>
        <w:tc>
          <w:tcPr>
            <w:tcW w:w="1405" w:type="pct"/>
            <w:tcBorders>
              <w:top w:val="nil"/>
              <w:left w:val="nil"/>
              <w:bottom w:val="single" w:color="auto" w:sz="4" w:space="0"/>
              <w:right w:val="single" w:color="auto" w:sz="4" w:space="0"/>
            </w:tcBorders>
            <w:shd w:val="clear" w:color="auto" w:fill="auto"/>
            <w:vAlign w:val="center"/>
          </w:tcPr>
          <w:p w14:paraId="788EB2FC">
            <w:pPr>
              <w:jc w:val="center"/>
              <w:rPr>
                <w:rFonts w:hint="default" w:eastAsia="宋体"/>
                <w:color w:val="auto"/>
                <w:sz w:val="22"/>
                <w:lang w:val="en-US" w:eastAsia="zh-CN"/>
              </w:rPr>
            </w:pPr>
            <w:r>
              <w:rPr>
                <w:rFonts w:hint="eastAsia"/>
                <w:color w:val="auto"/>
                <w:sz w:val="22"/>
                <w:lang w:val="en-US" w:eastAsia="zh-CN"/>
              </w:rPr>
              <w:t>20</w:t>
            </w:r>
          </w:p>
        </w:tc>
      </w:tr>
      <w:tr w14:paraId="44987777">
        <w:tblPrEx>
          <w:tblCellMar>
            <w:top w:w="0" w:type="dxa"/>
            <w:left w:w="108" w:type="dxa"/>
            <w:bottom w:w="0" w:type="dxa"/>
            <w:right w:w="108" w:type="dxa"/>
          </w:tblCellMar>
        </w:tblPrEx>
        <w:trPr>
          <w:trHeight w:val="340" w:hRule="atLeast"/>
          <w:jc w:val="center"/>
        </w:trPr>
        <w:tc>
          <w:tcPr>
            <w:tcW w:w="2068" w:type="pct"/>
            <w:tcBorders>
              <w:top w:val="nil"/>
              <w:left w:val="single" w:color="auto" w:sz="4" w:space="0"/>
              <w:bottom w:val="single" w:color="auto" w:sz="4" w:space="0"/>
              <w:right w:val="single" w:color="auto" w:sz="4" w:space="0"/>
            </w:tcBorders>
            <w:shd w:val="clear" w:color="auto" w:fill="auto"/>
            <w:vAlign w:val="center"/>
          </w:tcPr>
          <w:p w14:paraId="2BB5D6A6">
            <w:pPr>
              <w:jc w:val="center"/>
              <w:rPr>
                <w:color w:val="auto"/>
                <w:sz w:val="22"/>
              </w:rPr>
            </w:pPr>
            <w:r>
              <w:rPr>
                <w:rFonts w:hint="eastAsia"/>
                <w:color w:val="auto"/>
                <w:sz w:val="22"/>
              </w:rPr>
              <w:t>项目产出</w:t>
            </w:r>
          </w:p>
        </w:tc>
        <w:tc>
          <w:tcPr>
            <w:tcW w:w="1526" w:type="pct"/>
            <w:tcBorders>
              <w:top w:val="nil"/>
              <w:left w:val="nil"/>
              <w:bottom w:val="single" w:color="auto" w:sz="4" w:space="0"/>
              <w:right w:val="single" w:color="auto" w:sz="4" w:space="0"/>
            </w:tcBorders>
            <w:shd w:val="clear" w:color="auto" w:fill="auto"/>
            <w:vAlign w:val="center"/>
          </w:tcPr>
          <w:p w14:paraId="7B1EE600">
            <w:pPr>
              <w:jc w:val="center"/>
              <w:rPr>
                <w:rFonts w:hint="default" w:eastAsia="宋体"/>
                <w:color w:val="auto"/>
                <w:sz w:val="22"/>
                <w:lang w:val="en-US" w:eastAsia="zh-CN"/>
              </w:rPr>
            </w:pPr>
            <w:r>
              <w:rPr>
                <w:rFonts w:hint="eastAsia"/>
                <w:color w:val="auto"/>
                <w:sz w:val="22"/>
                <w:lang w:val="en-US" w:eastAsia="zh-CN"/>
              </w:rPr>
              <w:t>40</w:t>
            </w:r>
          </w:p>
        </w:tc>
        <w:tc>
          <w:tcPr>
            <w:tcW w:w="1405" w:type="pct"/>
            <w:tcBorders>
              <w:top w:val="nil"/>
              <w:left w:val="nil"/>
              <w:bottom w:val="single" w:color="auto" w:sz="4" w:space="0"/>
              <w:right w:val="single" w:color="auto" w:sz="4" w:space="0"/>
            </w:tcBorders>
            <w:shd w:val="clear" w:color="auto" w:fill="auto"/>
            <w:vAlign w:val="center"/>
          </w:tcPr>
          <w:p w14:paraId="35D66179">
            <w:pPr>
              <w:jc w:val="center"/>
              <w:rPr>
                <w:rFonts w:hint="default" w:eastAsia="宋体"/>
                <w:color w:val="auto"/>
                <w:sz w:val="22"/>
                <w:lang w:val="en-US" w:eastAsia="zh-CN"/>
              </w:rPr>
            </w:pPr>
            <w:r>
              <w:rPr>
                <w:rFonts w:hint="eastAsia"/>
                <w:color w:val="auto"/>
                <w:sz w:val="22"/>
                <w:lang w:val="en-US" w:eastAsia="zh-CN"/>
              </w:rPr>
              <w:t>39.37</w:t>
            </w:r>
          </w:p>
        </w:tc>
      </w:tr>
      <w:tr w14:paraId="5617240C">
        <w:tblPrEx>
          <w:tblCellMar>
            <w:top w:w="0" w:type="dxa"/>
            <w:left w:w="108" w:type="dxa"/>
            <w:bottom w:w="0" w:type="dxa"/>
            <w:right w:w="108" w:type="dxa"/>
          </w:tblCellMar>
        </w:tblPrEx>
        <w:trPr>
          <w:trHeight w:val="340" w:hRule="atLeast"/>
          <w:jc w:val="center"/>
        </w:trPr>
        <w:tc>
          <w:tcPr>
            <w:tcW w:w="2068" w:type="pct"/>
            <w:tcBorders>
              <w:top w:val="nil"/>
              <w:left w:val="single" w:color="auto" w:sz="4" w:space="0"/>
              <w:bottom w:val="single" w:color="auto" w:sz="4" w:space="0"/>
              <w:right w:val="single" w:color="auto" w:sz="4" w:space="0"/>
            </w:tcBorders>
            <w:shd w:val="clear" w:color="auto" w:fill="auto"/>
            <w:vAlign w:val="center"/>
          </w:tcPr>
          <w:p w14:paraId="5F942CB9">
            <w:pPr>
              <w:jc w:val="center"/>
              <w:rPr>
                <w:color w:val="auto"/>
                <w:sz w:val="22"/>
              </w:rPr>
            </w:pPr>
            <w:r>
              <w:rPr>
                <w:rFonts w:hint="eastAsia"/>
                <w:color w:val="auto"/>
                <w:sz w:val="22"/>
              </w:rPr>
              <w:t>项目效益</w:t>
            </w:r>
          </w:p>
        </w:tc>
        <w:tc>
          <w:tcPr>
            <w:tcW w:w="1526" w:type="pct"/>
            <w:tcBorders>
              <w:top w:val="nil"/>
              <w:left w:val="nil"/>
              <w:bottom w:val="single" w:color="auto" w:sz="4" w:space="0"/>
              <w:right w:val="single" w:color="auto" w:sz="4" w:space="0"/>
            </w:tcBorders>
            <w:shd w:val="clear" w:color="auto" w:fill="auto"/>
            <w:vAlign w:val="center"/>
          </w:tcPr>
          <w:p w14:paraId="37A91A09">
            <w:pPr>
              <w:jc w:val="center"/>
              <w:rPr>
                <w:rFonts w:hint="default" w:eastAsia="宋体"/>
                <w:color w:val="auto"/>
                <w:sz w:val="22"/>
                <w:lang w:val="en-US" w:eastAsia="zh-CN"/>
              </w:rPr>
            </w:pPr>
            <w:r>
              <w:rPr>
                <w:rFonts w:hint="eastAsia"/>
                <w:color w:val="auto"/>
                <w:sz w:val="22"/>
                <w:lang w:val="en-US" w:eastAsia="zh-CN"/>
              </w:rPr>
              <w:t>20</w:t>
            </w:r>
          </w:p>
        </w:tc>
        <w:tc>
          <w:tcPr>
            <w:tcW w:w="1405" w:type="pct"/>
            <w:tcBorders>
              <w:top w:val="nil"/>
              <w:left w:val="nil"/>
              <w:bottom w:val="single" w:color="auto" w:sz="4" w:space="0"/>
              <w:right w:val="single" w:color="auto" w:sz="4" w:space="0"/>
            </w:tcBorders>
            <w:shd w:val="clear" w:color="auto" w:fill="auto"/>
            <w:vAlign w:val="center"/>
          </w:tcPr>
          <w:p w14:paraId="2B4FB83A">
            <w:pPr>
              <w:jc w:val="center"/>
              <w:rPr>
                <w:rFonts w:hint="default" w:eastAsia="宋体"/>
                <w:color w:val="auto"/>
                <w:sz w:val="22"/>
                <w:lang w:val="en-US" w:eastAsia="zh-CN"/>
              </w:rPr>
            </w:pPr>
            <w:r>
              <w:rPr>
                <w:rFonts w:hint="eastAsia"/>
                <w:color w:val="auto"/>
                <w:sz w:val="22"/>
                <w:lang w:val="en-US" w:eastAsia="zh-CN"/>
              </w:rPr>
              <w:t>20</w:t>
            </w:r>
          </w:p>
        </w:tc>
      </w:tr>
      <w:tr w14:paraId="5C0C140D">
        <w:tblPrEx>
          <w:tblCellMar>
            <w:top w:w="0" w:type="dxa"/>
            <w:left w:w="108" w:type="dxa"/>
            <w:bottom w:w="0" w:type="dxa"/>
            <w:right w:w="108" w:type="dxa"/>
          </w:tblCellMar>
        </w:tblPrEx>
        <w:trPr>
          <w:trHeight w:val="340" w:hRule="atLeast"/>
          <w:jc w:val="center"/>
        </w:trPr>
        <w:tc>
          <w:tcPr>
            <w:tcW w:w="2068" w:type="pct"/>
            <w:tcBorders>
              <w:top w:val="nil"/>
              <w:left w:val="single" w:color="auto" w:sz="4" w:space="0"/>
              <w:bottom w:val="single" w:color="auto" w:sz="4" w:space="0"/>
              <w:right w:val="single" w:color="auto" w:sz="4" w:space="0"/>
            </w:tcBorders>
            <w:shd w:val="clear" w:color="auto" w:fill="auto"/>
            <w:vAlign w:val="center"/>
          </w:tcPr>
          <w:p w14:paraId="4293F16E">
            <w:pPr>
              <w:jc w:val="center"/>
              <w:rPr>
                <w:rFonts w:cs="宋体"/>
                <w:b/>
                <w:bCs/>
                <w:color w:val="auto"/>
                <w:sz w:val="22"/>
              </w:rPr>
            </w:pPr>
            <w:r>
              <w:rPr>
                <w:rFonts w:hint="eastAsia" w:cs="宋体"/>
                <w:b/>
                <w:bCs/>
                <w:color w:val="auto"/>
                <w:sz w:val="22"/>
              </w:rPr>
              <w:t>合计</w:t>
            </w:r>
          </w:p>
        </w:tc>
        <w:tc>
          <w:tcPr>
            <w:tcW w:w="1526" w:type="pct"/>
            <w:tcBorders>
              <w:top w:val="nil"/>
              <w:left w:val="nil"/>
              <w:bottom w:val="single" w:color="auto" w:sz="4" w:space="0"/>
              <w:right w:val="single" w:color="auto" w:sz="4" w:space="0"/>
            </w:tcBorders>
            <w:shd w:val="clear" w:color="auto" w:fill="auto"/>
            <w:vAlign w:val="center"/>
          </w:tcPr>
          <w:p w14:paraId="530DA440">
            <w:pPr>
              <w:jc w:val="center"/>
              <w:rPr>
                <w:rFonts w:hint="default" w:eastAsia="宋体"/>
                <w:b/>
                <w:bCs/>
                <w:color w:val="auto"/>
                <w:sz w:val="22"/>
                <w:lang w:val="en-US" w:eastAsia="zh-CN"/>
              </w:rPr>
            </w:pPr>
            <w:r>
              <w:rPr>
                <w:rFonts w:hint="eastAsia"/>
                <w:b/>
                <w:bCs/>
                <w:color w:val="auto"/>
                <w:sz w:val="22"/>
                <w:lang w:val="en-US" w:eastAsia="zh-CN"/>
              </w:rPr>
              <w:t>100</w:t>
            </w:r>
          </w:p>
        </w:tc>
        <w:tc>
          <w:tcPr>
            <w:tcW w:w="1405" w:type="pct"/>
            <w:tcBorders>
              <w:top w:val="nil"/>
              <w:left w:val="nil"/>
              <w:bottom w:val="single" w:color="auto" w:sz="4" w:space="0"/>
              <w:right w:val="single" w:color="auto" w:sz="4" w:space="0"/>
            </w:tcBorders>
            <w:shd w:val="clear" w:color="auto" w:fill="auto"/>
            <w:vAlign w:val="center"/>
          </w:tcPr>
          <w:p w14:paraId="5F862798">
            <w:pPr>
              <w:jc w:val="center"/>
              <w:rPr>
                <w:rFonts w:hint="default" w:eastAsia="宋体"/>
                <w:b/>
                <w:bCs/>
                <w:color w:val="auto"/>
                <w:sz w:val="22"/>
                <w:lang w:val="en-US" w:eastAsia="zh-CN"/>
              </w:rPr>
            </w:pPr>
            <w:r>
              <w:rPr>
                <w:rFonts w:hint="eastAsia"/>
                <w:b/>
                <w:bCs/>
                <w:color w:val="auto"/>
                <w:sz w:val="22"/>
                <w:lang w:val="en-US" w:eastAsia="zh-CN"/>
              </w:rPr>
              <w:t>99.37</w:t>
            </w:r>
          </w:p>
        </w:tc>
      </w:tr>
    </w:tbl>
    <w:p w14:paraId="13CCA0E3">
      <w:pPr>
        <w:spacing w:line="560" w:lineRule="exact"/>
        <w:ind w:firstLine="640" w:firstLineChars="200"/>
        <w:rPr>
          <w:rFonts w:eastAsia="黑体"/>
          <w:color w:val="auto"/>
          <w:sz w:val="32"/>
          <w:szCs w:val="32"/>
        </w:rPr>
      </w:pPr>
      <w:r>
        <w:rPr>
          <w:rFonts w:eastAsia="黑体"/>
          <w:color w:val="auto"/>
          <w:sz w:val="32"/>
          <w:szCs w:val="32"/>
        </w:rPr>
        <w:t>四、绩效评价指标分析</w:t>
      </w:r>
    </w:p>
    <w:p w14:paraId="5FF39219">
      <w:pPr>
        <w:pStyle w:val="11"/>
        <w:spacing w:before="0" w:after="0" w:line="560" w:lineRule="exact"/>
        <w:ind w:firstLine="640" w:firstLineChars="200"/>
        <w:jc w:val="both"/>
        <w:rPr>
          <w:rFonts w:ascii="Times New Roman" w:hAnsi="Times New Roman" w:eastAsia="楷体_GB2312"/>
          <w:b w:val="0"/>
          <w:bCs w:val="0"/>
          <w:color w:val="auto"/>
        </w:rPr>
      </w:pPr>
      <w:r>
        <w:rPr>
          <w:rFonts w:ascii="Times New Roman" w:hAnsi="Times New Roman" w:eastAsia="楷体_GB2312"/>
          <w:b w:val="0"/>
          <w:bCs w:val="0"/>
          <w:color w:val="auto"/>
        </w:rPr>
        <w:t>（一）项目决策情况</w:t>
      </w:r>
    </w:p>
    <w:p w14:paraId="39F3D401">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项目决策类指标包括项目立项、绩效目标和资金投入三方面的内容，由6个三级指标构成，权重分值为20分，实际得分20分，得分率为100%。</w:t>
      </w:r>
    </w:p>
    <w:p w14:paraId="5BE8F99A">
      <w:pPr>
        <w:pStyle w:val="11"/>
        <w:spacing w:before="0" w:after="0" w:line="560" w:lineRule="exact"/>
        <w:ind w:firstLine="643" w:firstLineChars="200"/>
        <w:jc w:val="both"/>
        <w:rPr>
          <w:rFonts w:hint="eastAsia" w:ascii="仿宋_GB2312" w:hAnsi="仿宋_GB2312" w:eastAsia="仿宋_GB2312" w:cs="仿宋_GB2312"/>
          <w:b/>
          <w:bCs/>
          <w:color w:val="auto"/>
          <w:lang w:val="en-US" w:eastAsia="zh-CN"/>
        </w:rPr>
      </w:pPr>
      <w:r>
        <w:rPr>
          <w:rFonts w:hint="eastAsia" w:ascii="仿宋_GB2312" w:hAnsi="仿宋_GB2312" w:eastAsia="仿宋_GB2312" w:cs="仿宋_GB2312"/>
          <w:b/>
          <w:bCs/>
          <w:color w:val="auto"/>
          <w:lang w:val="en-US" w:eastAsia="zh-CN"/>
        </w:rPr>
        <w:t>1.项目立项</w:t>
      </w:r>
    </w:p>
    <w:p w14:paraId="4BC0CD10">
      <w:pPr>
        <w:shd w:val="clea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（1）立项依据充分性</w:t>
      </w:r>
    </w:p>
    <w:p w14:paraId="05F2F5F7">
      <w:pPr>
        <w:shd w:val="clea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74D0052F">
      <w:pPr>
        <w:shd w:val="clea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（2）立项程序规范性</w:t>
      </w:r>
    </w:p>
    <w:p w14:paraId="6BEE3B55">
      <w:pPr>
        <w:shd w:val="clea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项目申请、设立过程符合相关要求，</w:t>
      </w:r>
      <w:r>
        <w:rPr>
          <w:rFonts w:hint="eastAsia" w:ascii="仿宋_GB2312" w:hAnsi="仿宋_GB2312" w:eastAsia="仿宋_GB2312" w:cs="仿宋_GB2312"/>
          <w:color w:val="auto"/>
          <w:sz w:val="32"/>
          <w:szCs w:val="32"/>
          <w:lang w:eastAsia="zh-Hans"/>
        </w:rPr>
        <w:t>严格按照审批流程准备符合要求的文件、材料；</w:t>
      </w:r>
      <w:r>
        <w:rPr>
          <w:rFonts w:hint="eastAsia" w:ascii="仿宋_GB2312" w:hAnsi="仿宋_GB2312" w:eastAsia="仿宋_GB2312" w:cs="仿宋_GB2312"/>
          <w:color w:val="auto"/>
          <w:sz w:val="32"/>
          <w:szCs w:val="32"/>
          <w:lang w:val="en-US" w:eastAsia="zh-CN"/>
        </w:rPr>
        <w:t>根据决算依据编制工作计划和经费预算，经过与部门项目分管领导沟通、筛选确定经费预算计划，确定最终预算方案。项目的审批文件、材料符合相关要求，项目事前经过必要的</w:t>
      </w:r>
      <w:r>
        <w:rPr>
          <w:rFonts w:hint="eastAsia" w:ascii="仿宋_GB2312" w:hAnsi="仿宋_GB2312" w:eastAsia="仿宋_GB2312" w:cs="仿宋_GB2312"/>
          <w:color w:val="auto"/>
          <w:sz w:val="32"/>
          <w:szCs w:val="32"/>
          <w:highlight w:val="none"/>
          <w:lang w:val="en-US" w:eastAsia="zh-CN"/>
        </w:rPr>
        <w:t>可行性研究、绩效评估、集体决策</w:t>
      </w:r>
      <w:r>
        <w:rPr>
          <w:rFonts w:hint="eastAsia" w:ascii="仿宋_GB2312" w:hAnsi="仿宋_GB2312" w:eastAsia="仿宋_GB2312" w:cs="仿宋_GB2312"/>
          <w:color w:val="auto"/>
          <w:sz w:val="32"/>
          <w:szCs w:val="32"/>
          <w:lang w:val="en-US" w:eastAsia="zh-CN"/>
        </w:rPr>
        <w:t>，保障了程序的规范性。</w:t>
      </w:r>
    </w:p>
    <w:p w14:paraId="34400520">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2.绩效目标</w:t>
      </w:r>
    </w:p>
    <w:p w14:paraId="64099C6E">
      <w:pPr>
        <w:shd w:val="clea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（1）绩效目标合理性</w:t>
      </w:r>
    </w:p>
    <w:p w14:paraId="5DE2A7F3">
      <w:pPr>
        <w:shd w:val="clea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Hans"/>
        </w:rPr>
        <w:t>年初结合实际工作内容</w:t>
      </w:r>
      <w:r>
        <w:rPr>
          <w:rFonts w:hint="eastAsia" w:ascii="仿宋_GB2312" w:hAnsi="仿宋_GB2312" w:eastAsia="仿宋_GB2312" w:cs="仿宋_GB2312"/>
          <w:color w:val="auto"/>
          <w:sz w:val="32"/>
          <w:szCs w:val="32"/>
          <w:lang w:val="en-US" w:eastAsia="zh-CN"/>
        </w:rPr>
        <w:t>设定绩效目标</w:t>
      </w:r>
      <w:r>
        <w:rPr>
          <w:rFonts w:hint="eastAsia" w:ascii="仿宋_GB2312" w:hAnsi="仿宋_GB2312" w:eastAsia="仿宋_GB2312" w:cs="仿宋_GB2312"/>
          <w:color w:val="auto"/>
          <w:sz w:val="32"/>
          <w:szCs w:val="32"/>
          <w:lang w:val="en-US" w:eastAsia="zh-Hans"/>
        </w:rPr>
        <w:t>，绩效目标</w:t>
      </w:r>
      <w:r>
        <w:rPr>
          <w:rFonts w:hint="eastAsia" w:ascii="仿宋_GB2312" w:hAnsi="仿宋_GB2312" w:eastAsia="仿宋_GB2312" w:cs="仿宋_GB2312"/>
          <w:color w:val="auto"/>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DD54DEC">
      <w:pPr>
        <w:shd w:val="clea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（2）绩效指标明确性</w:t>
      </w:r>
    </w:p>
    <w:p w14:paraId="4B558BA8">
      <w:pPr>
        <w:shd w:val="clea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01BDC3AA">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3.资金投入</w:t>
      </w:r>
    </w:p>
    <w:p w14:paraId="41EF78D1">
      <w:pPr>
        <w:shd w:val="clea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（1）预算编制科学性</w:t>
      </w:r>
    </w:p>
    <w:p w14:paraId="6FE4AE18">
      <w:pPr>
        <w:shd w:val="clea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预算编制经过科学论证，提供充分的测算依据佐证资料，预算内容与项目内容相匹配。项目投资额与工作任务相匹配。</w:t>
      </w:r>
    </w:p>
    <w:p w14:paraId="45419F0A">
      <w:pPr>
        <w:shd w:val="clea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（2）资金分配合理性</w:t>
      </w:r>
    </w:p>
    <w:p w14:paraId="1FFAEFEB">
      <w:pPr>
        <w:shd w:val="clea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资金分配额度与项目单位实际工作内容相适应，资金分配额度合理，资金分配依据充分。</w:t>
      </w:r>
    </w:p>
    <w:p w14:paraId="2E1F30F0">
      <w:pPr>
        <w:pStyle w:val="11"/>
        <w:numPr>
          <w:ilvl w:val="0"/>
          <w:numId w:val="3"/>
        </w:numPr>
        <w:spacing w:before="0" w:after="0" w:line="560" w:lineRule="exact"/>
        <w:ind w:firstLine="643" w:firstLineChars="200"/>
        <w:jc w:val="both"/>
        <w:rPr>
          <w:rFonts w:ascii="楷体" w:hAnsi="楷体" w:eastAsia="楷体" w:cs="楷体"/>
          <w:color w:val="auto"/>
        </w:rPr>
      </w:pPr>
      <w:r>
        <w:rPr>
          <w:rFonts w:hint="eastAsia" w:ascii="楷体" w:hAnsi="楷体" w:eastAsia="楷体" w:cs="楷体"/>
          <w:color w:val="auto"/>
        </w:rPr>
        <w:t>项目过程情况</w:t>
      </w:r>
    </w:p>
    <w:p w14:paraId="18126F89">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lang w:val="en-US" w:eastAsia="zh-CN"/>
        </w:rPr>
        <w:t>项目过程类指标包括资金管理和组织实施两方面的内容，由</w:t>
      </w:r>
      <w:r>
        <w:rPr>
          <w:rFonts w:hint="eastAsia" w:ascii="仿宋_GB2312" w:hAnsi="仿宋_GB2312" w:eastAsia="仿宋_GB2312" w:cs="仿宋_GB2312"/>
          <w:color w:val="auto"/>
          <w:sz w:val="32"/>
          <w:szCs w:val="32"/>
          <w:highlight w:val="none"/>
          <w:lang w:val="en-US" w:eastAsia="zh-CN"/>
        </w:rPr>
        <w:t>5个</w:t>
      </w:r>
      <w:r>
        <w:rPr>
          <w:rFonts w:hint="eastAsia" w:ascii="仿宋_GB2312" w:hAnsi="仿宋_GB2312" w:eastAsia="仿宋_GB2312" w:cs="仿宋_GB2312"/>
          <w:color w:val="auto"/>
          <w:sz w:val="32"/>
          <w:szCs w:val="32"/>
          <w:lang w:val="en-US" w:eastAsia="zh-CN"/>
        </w:rPr>
        <w:t>三级指标构成，权重分值为20分，</w:t>
      </w:r>
      <w:r>
        <w:rPr>
          <w:rFonts w:hint="eastAsia" w:ascii="仿宋_GB2312" w:hAnsi="仿宋_GB2312" w:eastAsia="仿宋_GB2312" w:cs="仿宋_GB2312"/>
          <w:color w:val="auto"/>
          <w:sz w:val="32"/>
          <w:szCs w:val="32"/>
          <w:highlight w:val="none"/>
          <w:lang w:val="en-US" w:eastAsia="zh-CN"/>
        </w:rPr>
        <w:t>实际得分20分，得分率为100%。</w:t>
      </w:r>
    </w:p>
    <w:p w14:paraId="0D4941CC">
      <w:pPr>
        <w:shd w:val="clea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0FFC37BF">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1.资金管理</w:t>
      </w:r>
    </w:p>
    <w:p w14:paraId="58DF9FC1">
      <w:pPr>
        <w:shd w:val="clea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（1）资金到位率</w:t>
      </w:r>
    </w:p>
    <w:p w14:paraId="19CDAE71">
      <w:pPr>
        <w:shd w:val="clea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w:t>
      </w:r>
      <w:r>
        <w:rPr>
          <w:rFonts w:hint="eastAsia" w:ascii="仿宋_GB2312" w:hAnsi="仿宋_GB2312" w:eastAsia="仿宋_GB2312" w:cs="仿宋_GB2312"/>
          <w:color w:val="auto"/>
          <w:sz w:val="32"/>
          <w:szCs w:val="32"/>
          <w:highlight w:val="none"/>
          <w:lang w:val="en-US" w:eastAsia="zh-CN"/>
        </w:rPr>
        <w:t>项目总投资</w:t>
      </w:r>
      <w:r>
        <w:rPr>
          <w:rFonts w:hint="default" w:ascii="Times New Roman" w:hAnsi="Times New Roman" w:eastAsia="仿宋_GB2312" w:cs="Times New Roman"/>
          <w:color w:val="auto"/>
          <w:sz w:val="32"/>
          <w:szCs w:val="32"/>
          <w:highlight w:val="none"/>
          <w:lang w:val="en-US" w:eastAsia="zh-CN"/>
        </w:rPr>
        <w:t>1173.81</w:t>
      </w:r>
      <w:r>
        <w:rPr>
          <w:rFonts w:hint="eastAsia" w:ascii="仿宋_GB2312" w:hAnsi="仿宋_GB2312" w:eastAsia="仿宋_GB2312" w:cs="仿宋_GB2312"/>
          <w:color w:val="auto"/>
          <w:sz w:val="32"/>
          <w:szCs w:val="32"/>
          <w:highlight w:val="none"/>
          <w:lang w:val="en-US" w:eastAsia="zh-CN"/>
        </w:rPr>
        <w:t>万元，财政资金及时足额到位，到</w:t>
      </w:r>
      <w:r>
        <w:rPr>
          <w:rFonts w:hint="default" w:ascii="Times New Roman" w:hAnsi="Times New Roman" w:eastAsia="仿宋_GB2312" w:cs="Times New Roman"/>
          <w:color w:val="auto"/>
          <w:sz w:val="32"/>
          <w:szCs w:val="32"/>
          <w:highlight w:val="none"/>
          <w:lang w:val="en-US" w:eastAsia="zh-CN"/>
        </w:rPr>
        <w:t>位率100%，</w:t>
      </w:r>
      <w:r>
        <w:rPr>
          <w:rFonts w:hint="eastAsia" w:ascii="仿宋_GB2312" w:hAnsi="仿宋_GB2312" w:eastAsia="仿宋_GB2312" w:cs="仿宋_GB2312"/>
          <w:color w:val="auto"/>
          <w:sz w:val="32"/>
          <w:szCs w:val="32"/>
          <w:highlight w:val="none"/>
          <w:lang w:val="en-US" w:eastAsia="zh-CN"/>
        </w:rPr>
        <w:t>预算资金按计划进度执行。</w:t>
      </w:r>
    </w:p>
    <w:p w14:paraId="60B1B323">
      <w:pPr>
        <w:shd w:val="clea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（2）预算执行率</w:t>
      </w:r>
    </w:p>
    <w:p w14:paraId="25FD9DC0">
      <w:pPr>
        <w:shd w:val="clea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预算编制较为详细，项目资金支出总体能够按照预算执行，</w:t>
      </w:r>
      <w:r>
        <w:rPr>
          <w:rFonts w:hint="default" w:ascii="Times New Roman" w:hAnsi="Times New Roman" w:eastAsia="仿宋_GB2312" w:cs="Times New Roman"/>
          <w:color w:val="auto"/>
          <w:sz w:val="32"/>
          <w:szCs w:val="32"/>
          <w:highlight w:val="none"/>
          <w:lang w:val="en-US" w:eastAsia="zh-CN"/>
        </w:rPr>
        <w:t>预算资金支出1173.37万元，预算执行率为99.96%</w:t>
      </w:r>
      <w:r>
        <w:rPr>
          <w:rFonts w:hint="eastAsia" w:ascii="仿宋_GB2312" w:hAnsi="仿宋_GB2312" w:eastAsia="仿宋_GB2312" w:cs="仿宋_GB2312"/>
          <w:color w:val="auto"/>
          <w:sz w:val="32"/>
          <w:szCs w:val="32"/>
          <w:lang w:val="en-US" w:eastAsia="zh-CN"/>
        </w:rPr>
        <w:t>。</w:t>
      </w:r>
    </w:p>
    <w:p w14:paraId="6D0F2AD4">
      <w:pPr>
        <w:shd w:val="clea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（3）资金使用合规性</w:t>
      </w:r>
    </w:p>
    <w:p w14:paraId="36AE6A22">
      <w:pPr>
        <w:shd w:val="clea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21A97FCE">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2.组织实施</w:t>
      </w:r>
    </w:p>
    <w:p w14:paraId="4320748A">
      <w:pPr>
        <w:shd w:val="clea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（1）管理制度健全性</w:t>
      </w:r>
    </w:p>
    <w:p w14:paraId="05FD5E2D">
      <w:pPr>
        <w:shd w:val="clea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D18A609">
      <w:pPr>
        <w:shd w:val="clea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（2）制度执行有效性</w:t>
      </w:r>
    </w:p>
    <w:p w14:paraId="3EE98AFC">
      <w:pPr>
        <w:shd w:val="clea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7D9E08D6">
      <w:pPr>
        <w:pStyle w:val="13"/>
        <w:numPr>
          <w:ilvl w:val="0"/>
          <w:numId w:val="3"/>
        </w:numPr>
        <w:spacing w:line="560" w:lineRule="exact"/>
        <w:ind w:firstLine="643"/>
        <w:rPr>
          <w:rFonts w:eastAsia="楷体_GB2312"/>
          <w:b/>
          <w:bCs/>
          <w:color w:val="auto"/>
          <w:sz w:val="32"/>
          <w:szCs w:val="32"/>
        </w:rPr>
      </w:pPr>
      <w:r>
        <w:rPr>
          <w:rFonts w:eastAsia="楷体_GB2312"/>
          <w:b/>
          <w:bCs/>
          <w:color w:val="auto"/>
          <w:sz w:val="32"/>
          <w:szCs w:val="32"/>
        </w:rPr>
        <w:t>项目产出</w:t>
      </w:r>
      <w:r>
        <w:rPr>
          <w:rFonts w:hint="eastAsia" w:eastAsia="楷体_GB2312"/>
          <w:b/>
          <w:bCs/>
          <w:color w:val="auto"/>
          <w:sz w:val="32"/>
          <w:szCs w:val="32"/>
          <w:lang w:val="en-US" w:eastAsia="zh-CN"/>
        </w:rPr>
        <w:t>情况</w:t>
      </w:r>
    </w:p>
    <w:p w14:paraId="18D8CC7A">
      <w:pPr>
        <w:shd w:val="clear"/>
        <w:spacing w:line="600" w:lineRule="exact"/>
        <w:ind w:firstLine="640" w:firstLineChars="200"/>
        <w:outlineLvl w:val="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项目产出类指标包括产出数量、产出质量、产出时效、产出成本</w:t>
      </w:r>
      <w:r>
        <w:rPr>
          <w:rFonts w:hint="eastAsia" w:eastAsia="仿宋_GB2312" w:cs="Times New Roman"/>
          <w:color w:val="auto"/>
          <w:sz w:val="32"/>
          <w:szCs w:val="32"/>
          <w:lang w:val="en-US" w:eastAsia="zh-CN"/>
        </w:rPr>
        <w:t>四</w:t>
      </w:r>
      <w:r>
        <w:rPr>
          <w:rFonts w:hint="eastAsia" w:ascii="仿宋_GB2312" w:hAnsi="仿宋_GB2312" w:eastAsia="仿宋_GB2312" w:cs="仿宋_GB2312"/>
          <w:color w:val="auto"/>
          <w:sz w:val="32"/>
          <w:szCs w:val="32"/>
          <w:lang w:val="en-US" w:eastAsia="zh-CN"/>
        </w:rPr>
        <w:t>方面的内容，由</w:t>
      </w:r>
      <w:r>
        <w:rPr>
          <w:rFonts w:hint="eastAsia" w:ascii="Times New Roman" w:hAnsi="Times New Roman" w:eastAsia="仿宋_GB2312" w:cs="Times New Roman"/>
          <w:color w:val="auto"/>
          <w:sz w:val="32"/>
          <w:szCs w:val="32"/>
          <w:lang w:val="en-US" w:eastAsia="zh-CN"/>
        </w:rPr>
        <w:t>9</w:t>
      </w:r>
      <w:r>
        <w:rPr>
          <w:rFonts w:hint="eastAsia" w:ascii="仿宋_GB2312" w:hAnsi="仿宋_GB2312" w:eastAsia="仿宋_GB2312" w:cs="仿宋_GB2312"/>
          <w:color w:val="auto"/>
          <w:sz w:val="32"/>
          <w:szCs w:val="32"/>
          <w:lang w:val="en-US" w:eastAsia="zh-CN"/>
        </w:rPr>
        <w:t>个三级指标构成，权重分为40分，</w:t>
      </w:r>
      <w:r>
        <w:rPr>
          <w:rFonts w:hint="eastAsia" w:ascii="仿宋_GB2312" w:hAnsi="仿宋_GB2312" w:eastAsia="仿宋_GB2312" w:cs="仿宋_GB2312"/>
          <w:color w:val="auto"/>
          <w:sz w:val="32"/>
          <w:szCs w:val="32"/>
          <w:highlight w:val="none"/>
          <w:lang w:val="en-US" w:eastAsia="zh-CN"/>
        </w:rPr>
        <w:t>实际得分39.37分，得分率为98.43%。</w:t>
      </w:r>
      <w:r>
        <w:rPr>
          <w:rFonts w:hint="eastAsia" w:ascii="仿宋_GB2312" w:hAnsi="仿宋_GB2312" w:eastAsia="仿宋_GB2312" w:cs="仿宋_GB2312"/>
          <w:color w:val="auto"/>
          <w:sz w:val="32"/>
          <w:szCs w:val="32"/>
          <w:lang w:val="en-US" w:eastAsia="zh-CN"/>
        </w:rPr>
        <w:t>具体产出指标完成情况如下：</w:t>
      </w:r>
    </w:p>
    <w:p w14:paraId="095DA789">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1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①</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数量指标：</w:t>
      </w:r>
    </w:p>
    <w:p w14:paraId="1B9A3F16">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rPr>
      </w:pPr>
      <w:r>
        <w:rPr>
          <w:rFonts w:hint="default" w:ascii="Times New Roman" w:hAnsi="Times New Roman" w:eastAsia="仿宋_GB2312" w:cs="Times New Roman"/>
          <w:color w:val="auto"/>
          <w:sz w:val="32"/>
          <w:szCs w:val="32"/>
          <w:highlight w:val="none"/>
        </w:rPr>
        <w:t>指标1：煤矿安全诊断和隐患排查，指标值：≥120处，实际完成值：</w:t>
      </w:r>
      <w:r>
        <w:rPr>
          <w:rFonts w:hint="default" w:ascii="Times New Roman" w:hAnsi="Times New Roman" w:eastAsia="仿宋_GB2312" w:cs="Times New Roman"/>
          <w:color w:val="auto"/>
          <w:sz w:val="32"/>
          <w:szCs w:val="32"/>
          <w:highlight w:val="none"/>
          <w:lang w:val="en-US" w:eastAsia="zh-CN"/>
        </w:rPr>
        <w:t>121处</w:t>
      </w:r>
      <w:r>
        <w:rPr>
          <w:rFonts w:hint="default" w:ascii="Times New Roman" w:hAnsi="Times New Roman" w:eastAsia="仿宋_GB2312" w:cs="Times New Roman"/>
          <w:color w:val="auto"/>
          <w:sz w:val="32"/>
          <w:szCs w:val="32"/>
          <w:highlight w:val="none"/>
        </w:rPr>
        <w:t>，指标完成率</w:t>
      </w:r>
      <w:r>
        <w:rPr>
          <w:rFonts w:hint="default" w:ascii="Times New Roman" w:hAnsi="Times New Roman" w:eastAsia="仿宋_GB2312" w:cs="Times New Roman"/>
          <w:color w:val="auto"/>
          <w:sz w:val="32"/>
          <w:szCs w:val="32"/>
          <w:highlight w:val="none"/>
          <w:lang w:val="en-US" w:eastAsia="zh-CN"/>
        </w:rPr>
        <w:t>100.83</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w:t>
      </w:r>
    </w:p>
    <w:p w14:paraId="44B883FA">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指标2：非煤矿山安全诊断和隐患排查，指标值：≥</w:t>
      </w:r>
      <w:r>
        <w:rPr>
          <w:rFonts w:hint="default" w:ascii="Times New Roman" w:hAnsi="Times New Roman" w:eastAsia="仿宋_GB2312" w:cs="Times New Roman"/>
          <w:color w:val="auto"/>
          <w:sz w:val="32"/>
          <w:szCs w:val="32"/>
          <w:highlight w:val="none"/>
          <w:lang w:val="en-US" w:eastAsia="zh-CN"/>
        </w:rPr>
        <w:t>23</w:t>
      </w:r>
      <w:r>
        <w:rPr>
          <w:rFonts w:hint="default" w:ascii="Times New Roman" w:hAnsi="Times New Roman" w:eastAsia="仿宋_GB2312" w:cs="Times New Roman"/>
          <w:color w:val="auto"/>
          <w:sz w:val="32"/>
          <w:szCs w:val="32"/>
          <w:highlight w:val="none"/>
        </w:rPr>
        <w:t>0处，实际完成值：</w:t>
      </w:r>
      <w:r>
        <w:rPr>
          <w:rFonts w:hint="default" w:ascii="Times New Roman" w:hAnsi="Times New Roman" w:eastAsia="仿宋_GB2312" w:cs="Times New Roman"/>
          <w:color w:val="auto"/>
          <w:sz w:val="32"/>
          <w:szCs w:val="32"/>
          <w:highlight w:val="none"/>
          <w:lang w:val="en-US" w:eastAsia="zh-CN"/>
        </w:rPr>
        <w:t>233处</w:t>
      </w:r>
      <w:r>
        <w:rPr>
          <w:rFonts w:hint="default" w:ascii="Times New Roman" w:hAnsi="Times New Roman" w:eastAsia="仿宋_GB2312" w:cs="Times New Roman"/>
          <w:color w:val="auto"/>
          <w:sz w:val="32"/>
          <w:szCs w:val="32"/>
          <w:highlight w:val="none"/>
        </w:rPr>
        <w:t>，指标完成率</w:t>
      </w:r>
      <w:r>
        <w:rPr>
          <w:rFonts w:hint="default" w:ascii="Times New Roman" w:hAnsi="Times New Roman" w:eastAsia="仿宋_GB2312" w:cs="Times New Roman"/>
          <w:color w:val="auto"/>
          <w:sz w:val="32"/>
          <w:szCs w:val="32"/>
          <w:highlight w:val="none"/>
          <w:lang w:val="en-US" w:eastAsia="zh-CN"/>
        </w:rPr>
        <w:t>101.30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w:t>
      </w:r>
    </w:p>
    <w:p w14:paraId="33AD0242">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指标</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：煤矿开展“回头看”，指标值：≥</w:t>
      </w:r>
      <w:r>
        <w:rPr>
          <w:rFonts w:hint="default" w:ascii="Times New Roman" w:hAnsi="Times New Roman" w:eastAsia="仿宋_GB2312" w:cs="Times New Roman"/>
          <w:color w:val="auto"/>
          <w:sz w:val="32"/>
          <w:szCs w:val="32"/>
          <w:highlight w:val="none"/>
          <w:lang w:val="en-US" w:eastAsia="zh-CN"/>
        </w:rPr>
        <w:t>40</w:t>
      </w:r>
      <w:r>
        <w:rPr>
          <w:rFonts w:hint="default" w:ascii="Times New Roman" w:hAnsi="Times New Roman" w:eastAsia="仿宋_GB2312" w:cs="Times New Roman"/>
          <w:color w:val="auto"/>
          <w:sz w:val="32"/>
          <w:szCs w:val="32"/>
          <w:highlight w:val="none"/>
        </w:rPr>
        <w:t>处，实际完成值：</w:t>
      </w:r>
      <w:r>
        <w:rPr>
          <w:rFonts w:hint="default" w:ascii="Times New Roman" w:hAnsi="Times New Roman" w:eastAsia="仿宋_GB2312" w:cs="Times New Roman"/>
          <w:color w:val="auto"/>
          <w:sz w:val="32"/>
          <w:szCs w:val="32"/>
          <w:highlight w:val="none"/>
          <w:lang w:val="en-US" w:eastAsia="zh-CN"/>
        </w:rPr>
        <w:t>37处</w:t>
      </w:r>
      <w:r>
        <w:rPr>
          <w:rFonts w:hint="default" w:ascii="Times New Roman" w:hAnsi="Times New Roman" w:eastAsia="仿宋_GB2312" w:cs="Times New Roman"/>
          <w:color w:val="auto"/>
          <w:sz w:val="32"/>
          <w:szCs w:val="32"/>
          <w:highlight w:val="none"/>
        </w:rPr>
        <w:t>，指标完成率</w:t>
      </w:r>
      <w:r>
        <w:rPr>
          <w:rFonts w:hint="default" w:ascii="Times New Roman" w:hAnsi="Times New Roman" w:eastAsia="仿宋_GB2312" w:cs="Times New Roman"/>
          <w:color w:val="auto"/>
          <w:sz w:val="32"/>
          <w:szCs w:val="32"/>
          <w:highlight w:val="none"/>
          <w:lang w:val="en-US" w:eastAsia="zh-CN"/>
        </w:rPr>
        <w:t>92.50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w:t>
      </w:r>
      <w:r>
        <w:rPr>
          <w:rFonts w:hint="eastAsia" w:eastAsia="仿宋_GB2312" w:cs="Times New Roman"/>
          <w:color w:val="auto"/>
          <w:sz w:val="32"/>
          <w:szCs w:val="32"/>
          <w:highlight w:val="none"/>
          <w:lang w:val="en-US" w:eastAsia="zh-CN"/>
        </w:rPr>
        <w:t>偏差率7.5%，偏差原因为：由于</w:t>
      </w:r>
      <w:r>
        <w:rPr>
          <w:rFonts w:hint="default" w:ascii="Times New Roman" w:hAnsi="Times New Roman" w:eastAsia="仿宋_GB2312" w:cs="Times New Roman"/>
          <w:color w:val="auto"/>
          <w:sz w:val="32"/>
          <w:szCs w:val="32"/>
          <w:highlight w:val="none"/>
          <w:lang w:val="en-US" w:eastAsia="zh-CN"/>
        </w:rPr>
        <w:t>经费不足，暂停开展回头看项目。</w:t>
      </w:r>
    </w:p>
    <w:p w14:paraId="78D97389">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指标</w:t>
      </w: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：非煤矿山开展</w:t>
      </w:r>
      <w:r>
        <w:rPr>
          <w:rFonts w:hint="eastAsia" w:ascii="仿宋_GB2312" w:hAnsi="仿宋_GB2312" w:eastAsia="仿宋_GB2312" w:cs="仿宋_GB2312"/>
          <w:color w:val="auto"/>
          <w:sz w:val="32"/>
          <w:szCs w:val="32"/>
          <w:highlight w:val="none"/>
        </w:rPr>
        <w:t>“回头看”，</w:t>
      </w:r>
      <w:r>
        <w:rPr>
          <w:rFonts w:hint="default" w:ascii="Times New Roman" w:hAnsi="Times New Roman" w:eastAsia="仿宋_GB2312" w:cs="Times New Roman"/>
          <w:color w:val="auto"/>
          <w:sz w:val="32"/>
          <w:szCs w:val="32"/>
          <w:highlight w:val="none"/>
        </w:rPr>
        <w:t>指标值：≥</w:t>
      </w:r>
      <w:r>
        <w:rPr>
          <w:rFonts w:hint="default" w:ascii="Times New Roman" w:hAnsi="Times New Roman" w:eastAsia="仿宋_GB2312" w:cs="Times New Roman"/>
          <w:color w:val="auto"/>
          <w:sz w:val="32"/>
          <w:szCs w:val="32"/>
          <w:highlight w:val="none"/>
          <w:lang w:val="en-US" w:eastAsia="zh-CN"/>
        </w:rPr>
        <w:t>60</w:t>
      </w:r>
      <w:r>
        <w:rPr>
          <w:rFonts w:hint="default" w:ascii="Times New Roman" w:hAnsi="Times New Roman" w:eastAsia="仿宋_GB2312" w:cs="Times New Roman"/>
          <w:color w:val="auto"/>
          <w:sz w:val="32"/>
          <w:szCs w:val="32"/>
          <w:highlight w:val="none"/>
        </w:rPr>
        <w:t>处，实际完成值：</w:t>
      </w:r>
      <w:r>
        <w:rPr>
          <w:rFonts w:hint="default" w:ascii="Times New Roman" w:hAnsi="Times New Roman" w:eastAsia="仿宋_GB2312" w:cs="Times New Roman"/>
          <w:color w:val="auto"/>
          <w:sz w:val="32"/>
          <w:szCs w:val="32"/>
          <w:highlight w:val="none"/>
          <w:lang w:val="en-US" w:eastAsia="zh-CN"/>
        </w:rPr>
        <w:t>56处</w:t>
      </w:r>
      <w:r>
        <w:rPr>
          <w:rFonts w:hint="default" w:ascii="Times New Roman" w:hAnsi="Times New Roman" w:eastAsia="仿宋_GB2312" w:cs="Times New Roman"/>
          <w:color w:val="auto"/>
          <w:sz w:val="32"/>
          <w:szCs w:val="32"/>
          <w:highlight w:val="none"/>
        </w:rPr>
        <w:t>，指标完成率</w:t>
      </w:r>
      <w:r>
        <w:rPr>
          <w:rFonts w:hint="default" w:ascii="Times New Roman" w:hAnsi="Times New Roman" w:eastAsia="仿宋_GB2312" w:cs="Times New Roman"/>
          <w:color w:val="auto"/>
          <w:sz w:val="32"/>
          <w:szCs w:val="32"/>
          <w:highlight w:val="none"/>
          <w:lang w:val="en-US" w:eastAsia="zh-CN"/>
        </w:rPr>
        <w:t>93.33</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w:t>
      </w:r>
      <w:r>
        <w:rPr>
          <w:rFonts w:hint="eastAsia" w:eastAsia="仿宋_GB2312" w:cs="Times New Roman"/>
          <w:color w:val="auto"/>
          <w:sz w:val="32"/>
          <w:szCs w:val="32"/>
          <w:highlight w:val="none"/>
          <w:lang w:val="en-US" w:eastAsia="zh-CN"/>
        </w:rPr>
        <w:t>偏差率6.67%，偏差原因为：由于</w:t>
      </w:r>
      <w:r>
        <w:rPr>
          <w:rFonts w:hint="default" w:ascii="Times New Roman" w:hAnsi="Times New Roman" w:eastAsia="仿宋_GB2312" w:cs="Times New Roman"/>
          <w:color w:val="auto"/>
          <w:sz w:val="32"/>
          <w:szCs w:val="32"/>
          <w:highlight w:val="none"/>
          <w:lang w:val="en-US" w:eastAsia="zh-CN"/>
        </w:rPr>
        <w:t>经费不足，暂停开展回头看项目。</w:t>
      </w:r>
    </w:p>
    <w:p w14:paraId="639CB8CB">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指标</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：培训人数，指标值：≥</w:t>
      </w:r>
      <w:r>
        <w:rPr>
          <w:rFonts w:hint="default" w:ascii="Times New Roman" w:hAnsi="Times New Roman" w:eastAsia="仿宋_GB2312" w:cs="Times New Roman"/>
          <w:color w:val="auto"/>
          <w:sz w:val="32"/>
          <w:szCs w:val="32"/>
          <w:highlight w:val="none"/>
          <w:lang w:val="en-US" w:eastAsia="zh-CN"/>
        </w:rPr>
        <w:t>200人次</w:t>
      </w:r>
      <w:r>
        <w:rPr>
          <w:rFonts w:hint="default" w:ascii="Times New Roman" w:hAnsi="Times New Roman" w:eastAsia="仿宋_GB2312" w:cs="Times New Roman"/>
          <w:color w:val="auto"/>
          <w:sz w:val="32"/>
          <w:szCs w:val="32"/>
          <w:highlight w:val="none"/>
        </w:rPr>
        <w:t>，实际完成值：</w:t>
      </w:r>
      <w:r>
        <w:rPr>
          <w:rFonts w:hint="default" w:ascii="Times New Roman" w:hAnsi="Times New Roman" w:eastAsia="仿宋_GB2312" w:cs="Times New Roman"/>
          <w:color w:val="auto"/>
          <w:sz w:val="32"/>
          <w:szCs w:val="32"/>
          <w:highlight w:val="none"/>
          <w:lang w:val="en-US" w:eastAsia="zh-CN"/>
        </w:rPr>
        <w:t>217人次</w:t>
      </w:r>
      <w:r>
        <w:rPr>
          <w:rFonts w:hint="default" w:ascii="Times New Roman" w:hAnsi="Times New Roman" w:eastAsia="仿宋_GB2312" w:cs="Times New Roman"/>
          <w:color w:val="auto"/>
          <w:sz w:val="32"/>
          <w:szCs w:val="32"/>
          <w:highlight w:val="none"/>
        </w:rPr>
        <w:t>，指标完成率</w:t>
      </w:r>
      <w:r>
        <w:rPr>
          <w:rFonts w:hint="default" w:ascii="Times New Roman" w:hAnsi="Times New Roman" w:eastAsia="仿宋_GB2312" w:cs="Times New Roman"/>
          <w:color w:val="auto"/>
          <w:sz w:val="32"/>
          <w:szCs w:val="32"/>
          <w:highlight w:val="none"/>
          <w:lang w:val="en-US" w:eastAsia="zh-CN"/>
        </w:rPr>
        <w:t>108.50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w:t>
      </w:r>
    </w:p>
    <w:p w14:paraId="7C84E6EF">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2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②</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质量指标：</w:t>
      </w:r>
    </w:p>
    <w:p w14:paraId="06C0C53C">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指标1：重大隐患挂牌督办率，指标值：100%，实际完成值：</w:t>
      </w:r>
      <w:r>
        <w:rPr>
          <w:rFonts w:hint="default"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，指标完成率</w:t>
      </w:r>
      <w:r>
        <w:rPr>
          <w:rFonts w:hint="default"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p>
    <w:p w14:paraId="15660D87">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指标</w:t>
      </w:r>
      <w:r>
        <w:rPr>
          <w:rFonts w:hint="eastAsia"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：问题隐患整改率，指标值：≥95%，实际完成值：</w:t>
      </w:r>
      <w:r>
        <w:rPr>
          <w:rFonts w:hint="default" w:ascii="Times New Roman" w:hAnsi="Times New Roman" w:eastAsia="仿宋_GB2312" w:cs="Times New Roman"/>
          <w:color w:val="auto"/>
          <w:sz w:val="32"/>
          <w:szCs w:val="32"/>
          <w:highlight w:val="none"/>
          <w:lang w:val="en-US" w:eastAsia="zh-CN"/>
        </w:rPr>
        <w:t>97.17%</w:t>
      </w:r>
      <w:r>
        <w:rPr>
          <w:rFonts w:hint="default" w:ascii="Times New Roman" w:hAnsi="Times New Roman" w:eastAsia="仿宋_GB2312" w:cs="Times New Roman"/>
          <w:color w:val="auto"/>
          <w:sz w:val="32"/>
          <w:szCs w:val="32"/>
          <w:highlight w:val="none"/>
        </w:rPr>
        <w:t>，指标完成率</w:t>
      </w:r>
      <w:r>
        <w:rPr>
          <w:rFonts w:hint="eastAsia" w:ascii="Times New Roman" w:hAnsi="Times New Roman" w:eastAsia="仿宋_GB2312" w:cs="Times New Roman"/>
          <w:color w:val="auto"/>
          <w:sz w:val="32"/>
          <w:szCs w:val="32"/>
          <w:highlight w:val="none"/>
          <w:lang w:val="en-US" w:eastAsia="zh-CN"/>
        </w:rPr>
        <w:t>102.28</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p>
    <w:p w14:paraId="7FC4938C">
      <w:pPr>
        <w:shd w:val="clear"/>
        <w:spacing w:line="600" w:lineRule="exact"/>
        <w:ind w:firstLine="640" w:firstLineChars="200"/>
        <w:outlineLvl w:val="0"/>
        <w:rPr>
          <w:rFonts w:hint="default" w:ascii="Times New Roman" w:hAnsi="Times New Roman" w:eastAsia="仿宋_GB2312" w:cs="Times New Roman"/>
          <w:color w:val="auto"/>
          <w:sz w:val="32"/>
          <w:szCs w:val="32"/>
          <w:highlight w:val="yellow"/>
        </w:rPr>
      </w:pPr>
      <w:r>
        <w:rPr>
          <w:rFonts w:hint="eastAsia" w:ascii="仿宋_GB2312" w:hAnsi="仿宋_GB2312" w:eastAsia="仿宋_GB2312" w:cs="仿宋_GB2312"/>
          <w:color w:val="auto"/>
          <w:sz w:val="32"/>
          <w:szCs w:val="32"/>
          <w:highlight w:val="none"/>
          <w:lang w:val="en-US" w:eastAsia="zh-CN"/>
        </w:rPr>
        <w:t>③时效</w:t>
      </w:r>
      <w:r>
        <w:rPr>
          <w:rFonts w:hint="eastAsia" w:ascii="仿宋_GB2312" w:hAnsi="仿宋_GB2312" w:eastAsia="仿宋_GB2312" w:cs="仿宋_GB2312"/>
          <w:color w:val="auto"/>
          <w:sz w:val="32"/>
          <w:szCs w:val="32"/>
          <w:highlight w:val="none"/>
        </w:rPr>
        <w:t>指标：</w:t>
      </w:r>
    </w:p>
    <w:p w14:paraId="742E0314">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：安全诊断和隐患排查按期完成率，指标值：100%，实际完成值：</w:t>
      </w:r>
      <w:r>
        <w:rPr>
          <w:rFonts w:hint="default"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，指标完成率</w:t>
      </w:r>
      <w:r>
        <w:rPr>
          <w:rFonts w:hint="default"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p>
    <w:p w14:paraId="297A6BC4">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：开</w:t>
      </w:r>
      <w:r>
        <w:rPr>
          <w:rFonts w:hint="eastAsia" w:ascii="仿宋_GB2312" w:hAnsi="仿宋_GB2312" w:eastAsia="仿宋_GB2312" w:cs="仿宋_GB2312"/>
          <w:color w:val="auto"/>
          <w:sz w:val="32"/>
          <w:szCs w:val="32"/>
          <w:highlight w:val="none"/>
        </w:rPr>
        <w:t>展“回头看”项目</w:t>
      </w:r>
      <w:r>
        <w:rPr>
          <w:rFonts w:hint="default" w:ascii="Times New Roman" w:hAnsi="Times New Roman" w:eastAsia="仿宋_GB2312" w:cs="Times New Roman"/>
          <w:color w:val="auto"/>
          <w:sz w:val="32"/>
          <w:szCs w:val="32"/>
          <w:highlight w:val="none"/>
        </w:rPr>
        <w:t>按期完成率，指标值：100%，实际完成值：</w:t>
      </w:r>
      <w:r>
        <w:rPr>
          <w:rFonts w:hint="eastAsia" w:eastAsia="仿宋_GB2312" w:cs="Times New Roman"/>
          <w:color w:val="auto"/>
          <w:sz w:val="32"/>
          <w:szCs w:val="32"/>
          <w:highlight w:val="none"/>
          <w:lang w:val="en-US" w:eastAsia="zh-CN"/>
        </w:rPr>
        <w:t>93</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93.00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偏差率7%，偏差原因为：由于</w:t>
      </w:r>
      <w:r>
        <w:rPr>
          <w:rFonts w:hint="default" w:ascii="Times New Roman" w:hAnsi="Times New Roman" w:eastAsia="仿宋_GB2312" w:cs="Times New Roman"/>
          <w:color w:val="auto"/>
          <w:sz w:val="32"/>
          <w:szCs w:val="32"/>
          <w:highlight w:val="none"/>
          <w:lang w:val="en-US" w:eastAsia="zh-CN"/>
        </w:rPr>
        <w:t>经费不足，暂停开展回头看项目。</w:t>
      </w:r>
    </w:p>
    <w:p w14:paraId="391D8BDA">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4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④</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成本指标：</w:t>
      </w:r>
    </w:p>
    <w:p w14:paraId="5FA5F264">
      <w:pPr>
        <w:shd w:val="clear"/>
        <w:spacing w:line="600" w:lineRule="exact"/>
        <w:ind w:firstLine="640" w:firstLineChars="200"/>
        <w:outlineLvl w:val="0"/>
        <w:rPr>
          <w:rFonts w:hint="default" w:eastAsia="仿宋_GB2312" w:cs="Times New Roman"/>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该项目年初未设置成本指标。</w:t>
      </w:r>
    </w:p>
    <w:p w14:paraId="0F2A62EC">
      <w:pPr>
        <w:pStyle w:val="13"/>
        <w:numPr>
          <w:ilvl w:val="0"/>
          <w:numId w:val="3"/>
        </w:numPr>
        <w:spacing w:line="560" w:lineRule="exact"/>
        <w:ind w:firstLine="643"/>
        <w:rPr>
          <w:rFonts w:hint="eastAsia" w:ascii="Times New Roman" w:hAnsi="Times New Roman" w:eastAsia="楷体_GB2312" w:cs="Times New Roman"/>
          <w:b/>
          <w:bCs/>
          <w:color w:val="auto"/>
          <w:sz w:val="32"/>
          <w:szCs w:val="32"/>
          <w:lang w:val="en-US" w:eastAsia="zh-CN"/>
        </w:rPr>
      </w:pPr>
      <w:r>
        <w:rPr>
          <w:rFonts w:hint="eastAsia" w:ascii="Times New Roman" w:hAnsi="Times New Roman" w:eastAsia="楷体_GB2312" w:cs="Times New Roman"/>
          <w:b/>
          <w:bCs/>
          <w:color w:val="auto"/>
          <w:sz w:val="32"/>
          <w:szCs w:val="32"/>
          <w:lang w:val="en-US" w:eastAsia="zh-CN"/>
        </w:rPr>
        <w:t>项目效益情况</w:t>
      </w:r>
    </w:p>
    <w:p w14:paraId="0BF3EDD1">
      <w:pPr>
        <w:shd w:val="clear"/>
        <w:spacing w:line="600" w:lineRule="exact"/>
        <w:ind w:firstLine="640" w:firstLineChars="200"/>
        <w:outlineLvl w:val="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项目效益类指标包括</w:t>
      </w:r>
      <w:r>
        <w:rPr>
          <w:rFonts w:hint="eastAsia" w:ascii="仿宋_GB2312" w:hAnsi="仿宋_GB2312" w:eastAsia="仿宋_GB2312" w:cs="仿宋_GB2312"/>
          <w:color w:val="auto"/>
          <w:sz w:val="32"/>
          <w:szCs w:val="32"/>
          <w:lang w:val="en-US" w:eastAsia="zh-CN"/>
        </w:rPr>
        <w:t>实施效益和满意度</w:t>
      </w:r>
      <w:r>
        <w:rPr>
          <w:rFonts w:hint="default" w:ascii="Times New Roman" w:hAnsi="Times New Roman" w:eastAsia="仿宋_GB2312" w:cs="Times New Roman"/>
          <w:color w:val="auto"/>
          <w:sz w:val="32"/>
          <w:szCs w:val="32"/>
          <w:lang w:val="en-US" w:eastAsia="zh-CN"/>
        </w:rPr>
        <w:t>指标2方面的内容，由</w:t>
      </w:r>
      <w:r>
        <w:rPr>
          <w:rFonts w:hint="default" w:ascii="Times New Roman" w:hAnsi="Times New Roman" w:eastAsia="仿宋_GB2312" w:cs="Times New Roman"/>
          <w:color w:val="auto"/>
          <w:sz w:val="32"/>
          <w:szCs w:val="32"/>
          <w:highlight w:val="none"/>
          <w:lang w:val="en-US" w:eastAsia="zh-CN"/>
        </w:rPr>
        <w:t>2个三级指标构成，权重分为20分，实际得分</w:t>
      </w:r>
      <w:r>
        <w:rPr>
          <w:rFonts w:hint="eastAsia" w:ascii="Times New Roman" w:hAnsi="Times New Roman"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分，得分率为</w:t>
      </w:r>
      <w:r>
        <w:rPr>
          <w:rFonts w:hint="eastAsia"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lang w:val="en-US" w:eastAsia="zh-CN"/>
        </w:rPr>
        <w:t>具体效益指标完成情况如下：</w:t>
      </w:r>
    </w:p>
    <w:p w14:paraId="0F447E46">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1.实施效益</w:t>
      </w:r>
    </w:p>
    <w:p w14:paraId="5F033077">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w:t>
      </w:r>
      <w:r>
        <w:rPr>
          <w:rFonts w:hint="default" w:ascii="Times New Roman" w:hAnsi="Times New Roman" w:eastAsia="仿宋_GB2312" w:cs="Times New Roman"/>
          <w:color w:val="auto"/>
          <w:sz w:val="32"/>
          <w:szCs w:val="32"/>
          <w:lang w:val="en-US" w:eastAsia="zh-CN"/>
        </w:rPr>
        <w:t>社会效益指标</w:t>
      </w:r>
    </w:p>
    <w:p w14:paraId="58B233E1">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有效提升全区安全生产监管能力水平</w:t>
      </w:r>
      <w:r>
        <w:rPr>
          <w:rFonts w:hint="eastAsia"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指标值：显著，实际完成值：</w:t>
      </w:r>
      <w:r>
        <w:rPr>
          <w:rFonts w:hint="default" w:ascii="Times New Roman" w:hAnsi="Times New Roman" w:eastAsia="仿宋_GB2312" w:cs="Times New Roman"/>
          <w:color w:val="auto"/>
          <w:sz w:val="32"/>
          <w:szCs w:val="32"/>
          <w:highlight w:val="none"/>
          <w:lang w:val="en-US" w:eastAsia="zh-CN"/>
        </w:rPr>
        <w:t>显著</w:t>
      </w:r>
      <w:r>
        <w:rPr>
          <w:rFonts w:hint="default" w:ascii="Times New Roman" w:hAnsi="Times New Roman" w:eastAsia="仿宋_GB2312" w:cs="Times New Roman"/>
          <w:color w:val="auto"/>
          <w:sz w:val="32"/>
          <w:szCs w:val="32"/>
          <w:highlight w:val="none"/>
        </w:rPr>
        <w:t>，指标完成率</w:t>
      </w:r>
      <w:r>
        <w:rPr>
          <w:rFonts w:hint="default"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w:t>
      </w:r>
    </w:p>
    <w:p w14:paraId="398FFA9A">
      <w:pPr>
        <w:spacing w:line="600" w:lineRule="exact"/>
        <w:ind w:firstLine="640" w:firstLineChars="200"/>
        <w:outlineLvl w:val="0"/>
        <w:rPr>
          <w:rFonts w:hint="eastAsia"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促进全区安全生产形势持续稳定发展</w:t>
      </w:r>
      <w:r>
        <w:rPr>
          <w:rFonts w:hint="eastAsia"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指标值：显著，实际完成值：</w:t>
      </w:r>
      <w:r>
        <w:rPr>
          <w:rFonts w:hint="default" w:ascii="Times New Roman" w:hAnsi="Times New Roman" w:eastAsia="仿宋_GB2312" w:cs="Times New Roman"/>
          <w:color w:val="auto"/>
          <w:sz w:val="32"/>
          <w:szCs w:val="32"/>
          <w:highlight w:val="none"/>
          <w:lang w:val="en-US" w:eastAsia="zh-CN"/>
        </w:rPr>
        <w:t>显著</w:t>
      </w:r>
      <w:r>
        <w:rPr>
          <w:rFonts w:hint="default" w:ascii="Times New Roman" w:hAnsi="Times New Roman" w:eastAsia="仿宋_GB2312" w:cs="Times New Roman"/>
          <w:color w:val="auto"/>
          <w:sz w:val="32"/>
          <w:szCs w:val="32"/>
          <w:highlight w:val="none"/>
        </w:rPr>
        <w:t>，指标完成率</w:t>
      </w:r>
      <w:r>
        <w:rPr>
          <w:rFonts w:hint="default"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w:t>
      </w:r>
    </w:p>
    <w:p w14:paraId="3E2F9AD8">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2.满意度</w:t>
      </w:r>
    </w:p>
    <w:p w14:paraId="7455854F">
      <w:pPr>
        <w:pStyle w:val="5"/>
        <w:ind w:firstLine="640" w:firstLineChars="200"/>
        <w:rPr>
          <w:rFonts w:hint="default"/>
          <w:color w:val="auto"/>
          <w:lang w:val="en-US" w:eastAsia="zh-CN"/>
        </w:rPr>
      </w:pPr>
      <w:r>
        <w:rPr>
          <w:rFonts w:hint="eastAsia" w:ascii="仿宋_GB2312" w:hAnsi="仿宋_GB2312" w:eastAsia="仿宋_GB2312" w:cs="仿宋_GB2312"/>
          <w:color w:val="auto"/>
          <w:sz w:val="32"/>
          <w:szCs w:val="32"/>
          <w:highlight w:val="none"/>
          <w:lang w:val="en-US" w:eastAsia="zh-CN"/>
        </w:rPr>
        <w:t>满意度指标：该项目年初未设置满意度指标。</w:t>
      </w:r>
    </w:p>
    <w:p w14:paraId="31592682">
      <w:pPr>
        <w:spacing w:line="560" w:lineRule="exact"/>
        <w:ind w:firstLine="640" w:firstLineChars="200"/>
        <w:rPr>
          <w:rFonts w:hint="eastAsia" w:ascii="Times New Roman" w:hAnsi="Times New Roman" w:eastAsia="黑体" w:cs="Times New Roman"/>
          <w:color w:val="auto"/>
          <w:sz w:val="32"/>
          <w:szCs w:val="32"/>
          <w:lang w:eastAsia="zh-Hans"/>
        </w:rPr>
      </w:pPr>
      <w:r>
        <w:rPr>
          <w:rFonts w:hint="eastAsia" w:ascii="Times New Roman" w:hAnsi="Times New Roman" w:eastAsia="黑体" w:cs="Times New Roman"/>
          <w:color w:val="auto"/>
          <w:sz w:val="32"/>
          <w:szCs w:val="32"/>
          <w:lang w:eastAsia="zh-Hans"/>
        </w:rPr>
        <w:t>五、预算执行进度与绩效指标总体完成率偏差</w:t>
      </w:r>
    </w:p>
    <w:p w14:paraId="29137A4F">
      <w:pPr>
        <w:pStyle w:val="20"/>
        <w:spacing w:line="560" w:lineRule="exact"/>
        <w:ind w:firstLine="640"/>
        <w:rPr>
          <w:rFonts w:hint="eastAsia"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2023年国家和自治区安全生产帮扶指导及监督检查</w:t>
      </w:r>
      <w:r>
        <w:rPr>
          <w:rFonts w:hint="default" w:ascii="Times New Roman" w:hAnsi="Times New Roman" w:eastAsia="仿宋_GB2312" w:cs="Times New Roman"/>
          <w:color w:val="auto"/>
          <w:sz w:val="32"/>
          <w:szCs w:val="32"/>
          <w:highlight w:val="none"/>
        </w:rPr>
        <w:t>项目所包含的全部项目内容项目年初预算</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万元，全年预算</w:t>
      </w:r>
      <w:r>
        <w:rPr>
          <w:rFonts w:hint="default" w:ascii="Times New Roman" w:hAnsi="Times New Roman" w:eastAsia="仿宋_GB2312" w:cs="Times New Roman"/>
          <w:color w:val="auto"/>
          <w:sz w:val="32"/>
          <w:szCs w:val="32"/>
          <w:highlight w:val="none"/>
          <w:lang w:val="en-US" w:eastAsia="zh-CN"/>
        </w:rPr>
        <w:t>1173.81</w:t>
      </w:r>
      <w:r>
        <w:rPr>
          <w:rFonts w:hint="default" w:ascii="Times New Roman" w:hAnsi="Times New Roman" w:eastAsia="仿宋_GB2312" w:cs="Times New Roman"/>
          <w:color w:val="auto"/>
          <w:sz w:val="32"/>
          <w:szCs w:val="32"/>
          <w:highlight w:val="none"/>
        </w:rPr>
        <w:t>万元，实际支出</w:t>
      </w:r>
      <w:r>
        <w:rPr>
          <w:rFonts w:hint="default" w:ascii="Times New Roman" w:hAnsi="Times New Roman" w:eastAsia="仿宋_GB2312" w:cs="Times New Roman"/>
          <w:color w:val="auto"/>
          <w:sz w:val="32"/>
          <w:szCs w:val="32"/>
          <w:highlight w:val="none"/>
          <w:lang w:val="en-US" w:eastAsia="zh-CN"/>
        </w:rPr>
        <w:t>1173.37</w:t>
      </w:r>
      <w:r>
        <w:rPr>
          <w:rFonts w:hint="default" w:ascii="Times New Roman" w:hAnsi="Times New Roman" w:eastAsia="仿宋_GB2312" w:cs="Times New Roman"/>
          <w:color w:val="auto"/>
          <w:sz w:val="32"/>
          <w:szCs w:val="32"/>
          <w:highlight w:val="none"/>
        </w:rPr>
        <w:t>万元，预算执行率为</w:t>
      </w:r>
      <w:r>
        <w:rPr>
          <w:rFonts w:hint="default" w:ascii="Times New Roman" w:hAnsi="Times New Roman" w:eastAsia="仿宋_GB2312" w:cs="Times New Roman"/>
          <w:color w:val="auto"/>
          <w:sz w:val="32"/>
          <w:szCs w:val="32"/>
          <w:highlight w:val="none"/>
          <w:lang w:val="en-US" w:eastAsia="zh-CN"/>
        </w:rPr>
        <w:t>99.96</w:t>
      </w:r>
      <w:r>
        <w:rPr>
          <w:rFonts w:hint="default" w:ascii="Times New Roman" w:hAnsi="Times New Roman" w:eastAsia="仿宋_GB2312" w:cs="Times New Roman"/>
          <w:color w:val="auto"/>
          <w:sz w:val="32"/>
          <w:szCs w:val="32"/>
          <w:highlight w:val="none"/>
        </w:rPr>
        <w:t>%，项目绩效指标总体完成率为</w:t>
      </w:r>
      <w:r>
        <w:rPr>
          <w:rFonts w:hint="eastAsia" w:eastAsia="仿宋_GB2312" w:cs="Times New Roman"/>
          <w:color w:val="auto"/>
          <w:sz w:val="32"/>
          <w:szCs w:val="32"/>
          <w:highlight w:val="none"/>
          <w:lang w:val="en-US" w:eastAsia="zh-CN"/>
        </w:rPr>
        <w:t>99.25</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Hans"/>
        </w:rPr>
        <w:t>总体</w:t>
      </w:r>
      <w:r>
        <w:rPr>
          <w:rFonts w:hint="default" w:ascii="Times New Roman" w:hAnsi="Times New Roman" w:eastAsia="仿宋_GB2312" w:cs="Times New Roman"/>
          <w:color w:val="auto"/>
          <w:sz w:val="32"/>
          <w:szCs w:val="32"/>
          <w:highlight w:val="none"/>
        </w:rPr>
        <w:t>偏差率为</w:t>
      </w:r>
      <w:r>
        <w:rPr>
          <w:rFonts w:hint="default" w:ascii="Times New Roman" w:hAnsi="Times New Roman" w:eastAsia="仿宋_GB2312" w:cs="Times New Roman"/>
          <w:color w:val="auto"/>
          <w:sz w:val="32"/>
          <w:szCs w:val="32"/>
          <w:highlight w:val="none"/>
          <w:lang w:val="en-US" w:eastAsia="zh-CN"/>
        </w:rPr>
        <w:t>0</w:t>
      </w:r>
      <w:r>
        <w:rPr>
          <w:rFonts w:hint="eastAsia" w:eastAsia="仿宋_GB2312" w:cs="Times New Roman"/>
          <w:color w:val="auto"/>
          <w:sz w:val="32"/>
          <w:szCs w:val="32"/>
          <w:highlight w:val="none"/>
          <w:lang w:val="en-US" w:eastAsia="zh-CN"/>
        </w:rPr>
        <w:t>.71</w:t>
      </w:r>
      <w:r>
        <w:rPr>
          <w:rFonts w:hint="default" w:ascii="Times New Roman" w:hAnsi="Times New Roman" w:eastAsia="仿宋_GB2312" w:cs="Times New Roman"/>
          <w:color w:val="auto"/>
          <w:sz w:val="32"/>
          <w:szCs w:val="32"/>
          <w:highlight w:val="none"/>
        </w:rPr>
        <w:t>%。偏差原因</w:t>
      </w:r>
      <w:r>
        <w:rPr>
          <w:rFonts w:hint="eastAsia" w:eastAsia="仿宋_GB2312" w:cs="Times New Roman"/>
          <w:color w:val="auto"/>
          <w:sz w:val="32"/>
          <w:szCs w:val="32"/>
          <w:highlight w:val="none"/>
          <w:lang w:val="en-US" w:eastAsia="zh-CN"/>
        </w:rPr>
        <w:t>为：</w:t>
      </w:r>
      <w:r>
        <w:rPr>
          <w:rFonts w:hint="eastAsia" w:eastAsia="仿宋_GB2312" w:cs="Times New Roman"/>
          <w:color w:val="auto"/>
          <w:sz w:val="32"/>
          <w:szCs w:val="32"/>
          <w:highlight w:val="none"/>
          <w:lang w:val="en-US" w:eastAsia="zh-CN"/>
        </w:rPr>
        <w:t>由于后期</w:t>
      </w:r>
      <w:r>
        <w:rPr>
          <w:rFonts w:hint="default" w:ascii="Times New Roman" w:hAnsi="Times New Roman" w:eastAsia="仿宋_GB2312" w:cs="Times New Roman"/>
          <w:color w:val="auto"/>
          <w:sz w:val="32"/>
          <w:szCs w:val="32"/>
          <w:highlight w:val="none"/>
          <w:lang w:val="en-US" w:eastAsia="zh-CN"/>
        </w:rPr>
        <w:t>经费不足，</w:t>
      </w:r>
      <w:r>
        <w:rPr>
          <w:rFonts w:hint="eastAsia" w:eastAsia="仿宋_GB2312" w:cs="Times New Roman"/>
          <w:color w:val="auto"/>
          <w:sz w:val="32"/>
          <w:szCs w:val="32"/>
          <w:highlight w:val="none"/>
          <w:lang w:val="en-US" w:eastAsia="zh-CN"/>
        </w:rPr>
        <w:t>我单位已暂停开展回头看项目。</w:t>
      </w:r>
    </w:p>
    <w:p w14:paraId="0CF25C30">
      <w:pPr>
        <w:spacing w:line="560" w:lineRule="exact"/>
        <w:ind w:firstLine="640" w:firstLineChars="200"/>
        <w:rPr>
          <w:rFonts w:hint="eastAsia" w:ascii="Times New Roman" w:hAnsi="Times New Roman" w:eastAsia="黑体" w:cs="Times New Roman"/>
          <w:color w:val="auto"/>
          <w:sz w:val="32"/>
          <w:szCs w:val="32"/>
          <w:lang w:eastAsia="zh-Hans"/>
        </w:rPr>
      </w:pPr>
      <w:r>
        <w:rPr>
          <w:rFonts w:hint="eastAsia" w:ascii="Times New Roman" w:hAnsi="Times New Roman" w:eastAsia="黑体" w:cs="Times New Roman"/>
          <w:color w:val="auto"/>
          <w:sz w:val="32"/>
          <w:szCs w:val="32"/>
          <w:lang w:eastAsia="zh-Hans"/>
        </w:rPr>
        <w:t>六、主要经验及做法、存在的问题及原因分析</w:t>
      </w:r>
    </w:p>
    <w:p w14:paraId="10677DD1">
      <w:pPr>
        <w:spacing w:line="560" w:lineRule="exact"/>
        <w:ind w:firstLine="627" w:firstLineChars="200"/>
        <w:rPr>
          <w:rFonts w:eastAsia="楷体"/>
          <w:b/>
          <w:color w:val="auto"/>
          <w:spacing w:val="-4"/>
          <w:sz w:val="32"/>
          <w:szCs w:val="32"/>
        </w:rPr>
      </w:pPr>
      <w:r>
        <w:rPr>
          <w:rFonts w:eastAsia="楷体"/>
          <w:b/>
          <w:color w:val="auto"/>
          <w:spacing w:val="-4"/>
          <w:sz w:val="32"/>
          <w:szCs w:val="32"/>
        </w:rPr>
        <w:t>（一）主要经验及做法</w:t>
      </w:r>
    </w:p>
    <w:p w14:paraId="44371C77">
      <w:pPr>
        <w:pStyle w:val="11"/>
        <w:spacing w:before="0" w:after="0" w:line="560" w:lineRule="exact"/>
        <w:ind w:firstLine="643" w:firstLineChars="200"/>
        <w:jc w:val="left"/>
        <w:rPr>
          <w:rFonts w:hint="default" w:ascii="Times New Roman" w:hAnsi="Times New Roman" w:eastAsia="仿宋_GB2312" w:cs="Times New Roman"/>
          <w:b w:val="0"/>
          <w:bCs w:val="0"/>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一是</w:t>
      </w:r>
      <w:r>
        <w:rPr>
          <w:rFonts w:hint="eastAsia" w:ascii="Times New Roman" w:hAnsi="Times New Roman" w:eastAsia="仿宋_GB2312" w:cs="Times New Roman"/>
          <w:b w:val="0"/>
          <w:bCs w:val="0"/>
          <w:color w:val="auto"/>
          <w:sz w:val="32"/>
          <w:szCs w:val="32"/>
          <w:highlight w:val="none"/>
          <w:lang w:val="en-US" w:eastAsia="zh-CN"/>
        </w:rPr>
        <w:t>全面完成各项工作任务。</w:t>
      </w:r>
      <w:r>
        <w:rPr>
          <w:rFonts w:hint="default" w:ascii="Times New Roman" w:hAnsi="Times New Roman" w:eastAsia="仿宋_GB2312" w:cs="Times New Roman"/>
          <w:b w:val="0"/>
          <w:bCs w:val="0"/>
          <w:color w:val="auto"/>
          <w:sz w:val="32"/>
          <w:szCs w:val="32"/>
          <w:highlight w:val="none"/>
          <w:lang w:val="en-US" w:eastAsia="zh-CN"/>
        </w:rPr>
        <w:t>按照自治区党委马兴瑞书记与应急管理部王祥喜部长关于国家帮扶指导自治区矿山安全生产工作的部署安排，国家矿山安全帮扶指导工作组就加强新疆矿山领域安全生产工作开展了为期4个月的帮扶指导工作，对伊犁州、昌吉州、哈密市三个重点州</w:t>
      </w:r>
      <w:r>
        <w:rPr>
          <w:rFonts w:hint="eastAsia" w:ascii="Times New Roman" w:hAnsi="Times New Roman" w:eastAsia="仿宋_GB2312" w:cs="Times New Roman"/>
          <w:b w:val="0"/>
          <w:bCs w:val="0"/>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lang w:val="en-US" w:eastAsia="zh-CN"/>
        </w:rPr>
        <w:t>市</w:t>
      </w:r>
      <w:r>
        <w:rPr>
          <w:rFonts w:hint="eastAsia" w:ascii="Times New Roman" w:hAnsi="Times New Roman" w:eastAsia="仿宋_GB2312" w:cs="Times New Roman"/>
          <w:b w:val="0"/>
          <w:bCs w:val="0"/>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lang w:val="en-US" w:eastAsia="zh-CN"/>
        </w:rPr>
        <w:t>进行了帮扶指导和乌鲁木齐市等十个地</w:t>
      </w:r>
      <w:r>
        <w:rPr>
          <w:rFonts w:hint="eastAsia" w:ascii="Times New Roman" w:hAnsi="Times New Roman" w:eastAsia="仿宋_GB2312" w:cs="Times New Roman"/>
          <w:b w:val="0"/>
          <w:bCs w:val="0"/>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lang w:val="en-US" w:eastAsia="zh-CN"/>
        </w:rPr>
        <w:t>州、市</w:t>
      </w:r>
      <w:r>
        <w:rPr>
          <w:rFonts w:hint="eastAsia" w:ascii="Times New Roman" w:hAnsi="Times New Roman" w:eastAsia="仿宋_GB2312" w:cs="Times New Roman"/>
          <w:b w:val="0"/>
          <w:bCs w:val="0"/>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lang w:val="en-US" w:eastAsia="zh-CN"/>
        </w:rPr>
        <w:t>进行了示范检查指导，圆满完成了各项工作任务。同时，自治区成立矿山安全帮扶指导组，在熟悉掌握检查模式和标准的基础上，对国家帮扶指导以外的地县两级政府、矿山监管部门和矿山企业进行全覆盖帮扶检查，成效显著。帮扶指导期间，国家和自治区帮扶指导组共检查矿山企业 354家</w:t>
      </w:r>
      <w:r>
        <w:rPr>
          <w:rFonts w:hint="eastAsia" w:ascii="Times New Roman" w:hAnsi="Times New Roman" w:eastAsia="仿宋_GB2312" w:cs="Times New Roman"/>
          <w:b w:val="0"/>
          <w:bCs w:val="0"/>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lang w:val="en-US" w:eastAsia="zh-CN"/>
        </w:rPr>
        <w:t>煤矿 121家、非煤矿山 233 家</w:t>
      </w:r>
      <w:r>
        <w:rPr>
          <w:rFonts w:hint="eastAsia" w:ascii="Times New Roman" w:hAnsi="Times New Roman" w:eastAsia="仿宋_GB2312" w:cs="Times New Roman"/>
          <w:b w:val="0"/>
          <w:bCs w:val="0"/>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lang w:val="en-US" w:eastAsia="zh-CN"/>
        </w:rPr>
        <w:t>发现一般问题隐患10726项，重大隐患792项。</w:t>
      </w:r>
    </w:p>
    <w:p w14:paraId="2DCC4D89">
      <w:pPr>
        <w:pStyle w:val="11"/>
        <w:spacing w:before="0" w:after="0" w:line="560" w:lineRule="exact"/>
        <w:ind w:firstLine="643" w:firstLineChars="200"/>
        <w:jc w:val="left"/>
        <w:rPr>
          <w:rFonts w:hint="default" w:ascii="Times New Roman" w:hAnsi="Times New Roman" w:eastAsia="仿宋_GB2312" w:cs="Times New Roman"/>
          <w:b w:val="0"/>
          <w:bCs w:val="0"/>
          <w:color w:val="auto"/>
          <w:sz w:val="32"/>
          <w:szCs w:val="32"/>
          <w:highlight w:val="none"/>
          <w:lang w:val="en-US" w:eastAsia="zh-CN"/>
        </w:rPr>
      </w:pPr>
      <w:r>
        <w:rPr>
          <w:rFonts w:hint="eastAsia" w:ascii="Times New Roman" w:hAnsi="Times New Roman" w:eastAsia="仿宋_GB2312" w:cs="Times New Roman"/>
          <w:b/>
          <w:bCs/>
          <w:color w:val="auto"/>
          <w:sz w:val="32"/>
          <w:szCs w:val="32"/>
          <w:highlight w:val="none"/>
          <w:lang w:val="en-US" w:eastAsia="zh-CN"/>
        </w:rPr>
        <w:t>二是</w:t>
      </w:r>
      <w:r>
        <w:rPr>
          <w:rFonts w:hint="default" w:ascii="Times New Roman" w:hAnsi="Times New Roman" w:eastAsia="仿宋_GB2312" w:cs="Times New Roman"/>
          <w:b w:val="0"/>
          <w:bCs w:val="0"/>
          <w:color w:val="auto"/>
          <w:sz w:val="32"/>
          <w:szCs w:val="32"/>
          <w:highlight w:val="none"/>
          <w:lang w:val="en-US" w:eastAsia="zh-CN"/>
        </w:rPr>
        <w:t>加强培训指导，提升监管</w:t>
      </w:r>
      <w:r>
        <w:rPr>
          <w:rFonts w:hint="eastAsia" w:ascii="Times New Roman" w:hAnsi="Times New Roman" w:eastAsia="仿宋_GB2312" w:cs="Times New Roman"/>
          <w:b w:val="0"/>
          <w:bCs w:val="0"/>
          <w:color w:val="auto"/>
          <w:sz w:val="32"/>
          <w:szCs w:val="32"/>
          <w:highlight w:val="none"/>
          <w:lang w:val="en-US" w:eastAsia="zh-CN"/>
        </w:rPr>
        <w:t>（管理）</w:t>
      </w:r>
      <w:r>
        <w:rPr>
          <w:rFonts w:hint="default" w:ascii="Times New Roman" w:hAnsi="Times New Roman" w:eastAsia="仿宋_GB2312" w:cs="Times New Roman"/>
          <w:b w:val="0"/>
          <w:bCs w:val="0"/>
          <w:color w:val="auto"/>
          <w:sz w:val="32"/>
          <w:szCs w:val="32"/>
          <w:highlight w:val="none"/>
          <w:lang w:val="en-US" w:eastAsia="zh-CN"/>
        </w:rPr>
        <w:t>效能。邀请国家矿山帮扶指导组的优秀监察干部和具有丰富经验的行业领域专家，举办为期7天的自治区矿山安全监管</w:t>
      </w:r>
      <w:r>
        <w:rPr>
          <w:rFonts w:hint="eastAsia" w:ascii="Times New Roman" w:hAnsi="Times New Roman" w:eastAsia="仿宋_GB2312" w:cs="Times New Roman"/>
          <w:b w:val="0"/>
          <w:bCs w:val="0"/>
          <w:color w:val="auto"/>
          <w:sz w:val="32"/>
          <w:szCs w:val="32"/>
          <w:highlight w:val="none"/>
          <w:lang w:val="en-US" w:eastAsia="zh-CN"/>
        </w:rPr>
        <w:t>（管理）</w:t>
      </w:r>
      <w:r>
        <w:rPr>
          <w:rFonts w:hint="default" w:ascii="Times New Roman" w:hAnsi="Times New Roman" w:eastAsia="仿宋_GB2312" w:cs="Times New Roman"/>
          <w:b w:val="0"/>
          <w:bCs w:val="0"/>
          <w:color w:val="auto"/>
          <w:sz w:val="32"/>
          <w:szCs w:val="32"/>
          <w:highlight w:val="none"/>
          <w:lang w:val="en-US" w:eastAsia="zh-CN"/>
        </w:rPr>
        <w:t>能力提升培训班，采取</w:t>
      </w:r>
      <w:r>
        <w:rPr>
          <w:rFonts w:hint="eastAsia" w:ascii="仿宋_GB2312" w:hAnsi="仿宋_GB2312" w:eastAsia="仿宋_GB2312" w:cs="仿宋_GB2312"/>
          <w:b w:val="0"/>
          <w:bCs w:val="0"/>
          <w:color w:val="auto"/>
          <w:sz w:val="32"/>
          <w:szCs w:val="32"/>
          <w:highlight w:val="none"/>
          <w:lang w:val="en-US" w:eastAsia="zh-CN"/>
        </w:rPr>
        <w:t>“集中授课+线上培训”</w:t>
      </w:r>
      <w:r>
        <w:rPr>
          <w:rFonts w:hint="default" w:ascii="Times New Roman" w:hAnsi="Times New Roman" w:eastAsia="仿宋_GB2312" w:cs="Times New Roman"/>
          <w:b w:val="0"/>
          <w:bCs w:val="0"/>
          <w:color w:val="auto"/>
          <w:sz w:val="32"/>
          <w:szCs w:val="32"/>
          <w:highlight w:val="none"/>
          <w:lang w:val="en-US" w:eastAsia="zh-CN"/>
        </w:rPr>
        <w:t>相结合的方式，分层次、分单元对地县两级政府分管负责同志、应急管理部门负责同志、矿山安全监管人员以及矿山企业安全管理人员进行培训，全区共5750人次参训，有效提升了我区矿山安全监管干部监管能力和矿山企业安全管理水平。举办自治区煤矿安全监管人员线下培训班，围绕重大事故隐患判定标准、煤矿隐蔽致灾因素普查治理等内容对地县两级146名矿山安全监管人员进行集中培训，切实提高煤矿安全监管人员能力水平。举办煤矿安全监管骨干能力提升培训班，组织50名全区各级应急管理部门煤矿安全监管干部在中国矿业大学</w:t>
      </w:r>
      <w:r>
        <w:rPr>
          <w:rFonts w:hint="eastAsia" w:ascii="Times New Roman" w:hAnsi="Times New Roman" w:eastAsia="仿宋_GB2312" w:cs="Times New Roman"/>
          <w:b w:val="0"/>
          <w:bCs w:val="0"/>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lang w:val="en-US" w:eastAsia="zh-CN"/>
        </w:rPr>
        <w:t>徐州</w:t>
      </w:r>
      <w:r>
        <w:rPr>
          <w:rFonts w:hint="eastAsia" w:ascii="Times New Roman" w:hAnsi="Times New Roman" w:eastAsia="仿宋_GB2312" w:cs="Times New Roman"/>
          <w:b w:val="0"/>
          <w:bCs w:val="0"/>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lang w:val="en-US" w:eastAsia="zh-CN"/>
        </w:rPr>
        <w:t>开展了为期10天的专题培训，进一步提升全区各级矿山安全监管干部骨干专业化能力素质。在应急管理部王祥喜部长大力支持下，举办新疆矿山安全监管专题培训班，分两批次组织200名从事矿山安全监管的全区各级应急管理部门干部在应急管理部干部培训学院开展了为期8天专题培训，解决“本领恐慌”、能力不足的问题，提高了矿山监管干部的能力和水平。举办自治区非煤矿山矿长培训班，对全区正常生产建设地下非煤矿山矿长进行培训，就《中共中央办公厅 国务院办公厅关于进一步加强矿山安全生产工作的意见》进行宣贯解读，切实强化矿山企业主要负责人依法办矿、依法管矿意识</w:t>
      </w:r>
      <w:r>
        <w:rPr>
          <w:rFonts w:hint="eastAsia" w:ascii="Times New Roman" w:hAnsi="Times New Roman" w:eastAsia="仿宋_GB2312" w:cs="Times New Roman"/>
          <w:b w:val="0"/>
          <w:bCs w:val="0"/>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lang w:val="en-US" w:eastAsia="zh-CN"/>
        </w:rPr>
        <w:t>提升举一反三查改问题隐患的积极性</w:t>
      </w:r>
      <w:r>
        <w:rPr>
          <w:rFonts w:hint="eastAsia" w:ascii="Times New Roman" w:hAnsi="Times New Roman" w:eastAsia="仿宋_GB2312" w:cs="Times New Roman"/>
          <w:b w:val="0"/>
          <w:bCs w:val="0"/>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lang w:val="en-US" w:eastAsia="zh-CN"/>
        </w:rPr>
        <w:t>主动性。</w:t>
      </w:r>
    </w:p>
    <w:p w14:paraId="6DC9CDE0">
      <w:pPr>
        <w:spacing w:line="560" w:lineRule="exact"/>
        <w:ind w:firstLine="643" w:firstLineChars="200"/>
        <w:rPr>
          <w:rFonts w:hint="default"/>
          <w:color w:val="auto"/>
          <w:lang w:val="en-US" w:eastAsia="zh-CN"/>
        </w:rPr>
      </w:pPr>
      <w:r>
        <w:rPr>
          <w:rFonts w:hint="eastAsia" w:eastAsia="仿宋_GB2312" w:cs="Times New Roman"/>
          <w:b/>
          <w:bCs/>
          <w:color w:val="auto"/>
          <w:sz w:val="32"/>
          <w:szCs w:val="32"/>
          <w:highlight w:val="none"/>
          <w:lang w:val="en-US" w:eastAsia="zh-CN"/>
        </w:rPr>
        <w:t>三是</w:t>
      </w:r>
      <w:r>
        <w:rPr>
          <w:rFonts w:hint="eastAsia" w:eastAsia="仿宋_GB2312" w:cs="Times New Roman"/>
          <w:b w:val="0"/>
          <w:bCs w:val="0"/>
          <w:color w:val="auto"/>
          <w:sz w:val="32"/>
          <w:szCs w:val="32"/>
          <w:highlight w:val="none"/>
          <w:lang w:val="en-US" w:eastAsia="zh-CN"/>
        </w:rPr>
        <w:t>全覆盖进行矿山安全生产综合整治“回头看”。制定印发了《关于开展自治区矿山安全生产综合整治“回头看”检查的通知》，成立10个检查组，对除克拉玛依市以外的13个地（州，市）开展矿山安全综合整治“回头看”，督促问题隐患切实整改到位，进一步巩固帮扶指导成果，夯实矿山安全生产基础。截至目前，一般隐患已整改10391项、重大隐患已整改 771项，整改完成率分别为 96.88%和 97.35%。</w:t>
      </w:r>
    </w:p>
    <w:p w14:paraId="3E43F33B">
      <w:pPr>
        <w:keepNext/>
        <w:keepLines/>
        <w:numPr>
          <w:ilvl w:val="0"/>
          <w:numId w:val="4"/>
        </w:numPr>
        <w:spacing w:line="560" w:lineRule="exact"/>
        <w:ind w:firstLine="643" w:firstLineChars="200"/>
        <w:rPr>
          <w:rFonts w:eastAsia="楷体_GB2312"/>
          <w:b/>
          <w:bCs/>
          <w:color w:val="auto"/>
          <w:sz w:val="32"/>
          <w:szCs w:val="32"/>
        </w:rPr>
      </w:pPr>
      <w:r>
        <w:rPr>
          <w:rFonts w:eastAsia="楷体_GB2312"/>
          <w:b/>
          <w:bCs/>
          <w:color w:val="auto"/>
          <w:sz w:val="32"/>
          <w:szCs w:val="32"/>
        </w:rPr>
        <w:t>存在的问题及原因分析</w:t>
      </w:r>
    </w:p>
    <w:p w14:paraId="4137840B">
      <w:pPr>
        <w:shd w:val="clear"/>
        <w:spacing w:line="560" w:lineRule="exact"/>
        <w:ind w:firstLine="640" w:firstLineChars="200"/>
        <w:outlineLvl w:val="9"/>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回头看”过程中发现部分矿山企业问题隐患整改不到位，走形式，走过场。主要因为这些企业隐患排查治理主动性不强，举一反三发现问题能力不足。一些矿山企业主体责任落实不到位，汲取事故教训不深刻，没有把过去的事故和别人的事故当成自己的事故来对待，而是心存侥幸、思想麻痹，缺乏主动找问题、查</w:t>
      </w:r>
      <w:r>
        <w:rPr>
          <w:rFonts w:hint="eastAsia" w:eastAsia="仿宋_GB2312" w:cs="Times New Roman"/>
          <w:color w:val="auto"/>
          <w:sz w:val="32"/>
          <w:szCs w:val="32"/>
          <w:highlight w:val="none"/>
        </w:rPr>
        <w:t>隐患的意识和能力，企业主动自查发现的问题少，被动接受检查及开展检查发现的问题多。</w:t>
      </w:r>
    </w:p>
    <w:p w14:paraId="25C089DE">
      <w:pPr>
        <w:spacing w:line="560" w:lineRule="exact"/>
        <w:ind w:firstLine="640" w:firstLineChars="200"/>
        <w:rPr>
          <w:rFonts w:eastAsia="黑体"/>
          <w:color w:val="auto"/>
          <w:sz w:val="32"/>
          <w:szCs w:val="32"/>
        </w:rPr>
      </w:pPr>
      <w:r>
        <w:rPr>
          <w:rFonts w:hint="eastAsia" w:eastAsia="黑体"/>
          <w:color w:val="auto"/>
          <w:sz w:val="32"/>
          <w:szCs w:val="32"/>
          <w:lang w:eastAsia="zh-Hans"/>
        </w:rPr>
        <w:t>七、</w:t>
      </w:r>
      <w:r>
        <w:rPr>
          <w:rFonts w:eastAsia="黑体"/>
          <w:color w:val="auto"/>
          <w:sz w:val="32"/>
          <w:szCs w:val="32"/>
        </w:rPr>
        <w:t>有关建议</w:t>
      </w:r>
    </w:p>
    <w:p w14:paraId="31F1B25D">
      <w:pPr>
        <w:spacing w:line="560" w:lineRule="exact"/>
        <w:ind w:firstLine="640" w:firstLineChars="200"/>
        <w:rPr>
          <w:rFonts w:hint="eastAsia" w:eastAsia="黑体"/>
          <w:color w:val="auto"/>
          <w:sz w:val="32"/>
          <w:szCs w:val="32"/>
          <w:highlight w:val="none"/>
          <w:lang w:eastAsia="zh-Hans"/>
        </w:rPr>
      </w:pPr>
      <w:r>
        <w:rPr>
          <w:rFonts w:hint="eastAsia" w:ascii="仿宋_GB2312" w:hAnsi="仿宋_GB2312" w:eastAsia="仿宋_GB2312" w:cs="仿宋_GB2312"/>
          <w:color w:val="auto"/>
          <w:sz w:val="32"/>
          <w:szCs w:val="32"/>
          <w:highlight w:val="none"/>
          <w:lang w:val="en-US" w:eastAsia="zh-CN"/>
        </w:rPr>
        <w:t>无。</w:t>
      </w:r>
    </w:p>
    <w:p w14:paraId="1957E6C4">
      <w:pPr>
        <w:spacing w:line="560" w:lineRule="exact"/>
        <w:ind w:firstLine="640" w:firstLineChars="200"/>
        <w:rPr>
          <w:rFonts w:eastAsia="黑体"/>
          <w:color w:val="auto"/>
          <w:sz w:val="32"/>
          <w:szCs w:val="32"/>
        </w:rPr>
      </w:pPr>
      <w:r>
        <w:rPr>
          <w:rFonts w:hint="eastAsia" w:eastAsia="黑体"/>
          <w:color w:val="auto"/>
          <w:sz w:val="32"/>
          <w:szCs w:val="32"/>
          <w:lang w:eastAsia="zh-Hans"/>
        </w:rPr>
        <w:t>八、</w:t>
      </w:r>
      <w:r>
        <w:rPr>
          <w:rFonts w:eastAsia="黑体"/>
          <w:color w:val="auto"/>
          <w:sz w:val="32"/>
          <w:szCs w:val="32"/>
        </w:rPr>
        <w:t>其他需要说</w:t>
      </w:r>
      <w:bookmarkStart w:id="2" w:name="page8"/>
      <w:bookmarkEnd w:id="2"/>
      <w:r>
        <w:rPr>
          <w:rFonts w:eastAsia="黑体"/>
          <w:color w:val="auto"/>
          <w:sz w:val="32"/>
          <w:szCs w:val="32"/>
        </w:rPr>
        <w:t>明的问题</w:t>
      </w:r>
    </w:p>
    <w:p w14:paraId="21290110">
      <w:pPr>
        <w:pStyle w:val="14"/>
        <w:spacing w:after="0" w:line="560" w:lineRule="exact"/>
        <w:ind w:left="0" w:leftChars="0" w:firstLine="64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Hans"/>
        </w:rPr>
        <w:t>本项目无其他需说明的问题。</w:t>
      </w:r>
    </w:p>
    <w:p w14:paraId="25831073">
      <w:pPr>
        <w:pStyle w:val="11"/>
        <w:rPr>
          <w:rFonts w:ascii="Times New Roman" w:hAnsi="Times New Roman" w:eastAsia="黑体"/>
          <w:b w:val="0"/>
          <w:bCs w:val="0"/>
          <w:color w:val="auto"/>
        </w:rPr>
      </w:pPr>
    </w:p>
    <w:p w14:paraId="7C482C93">
      <w:pPr>
        <w:pStyle w:val="11"/>
        <w:jc w:val="both"/>
        <w:rPr>
          <w:rFonts w:ascii="Times New Roman" w:hAnsi="Times New Roman"/>
          <w:color w:val="auto"/>
        </w:rPr>
        <w:sectPr>
          <w:footerReference r:id="rId3" w:type="default"/>
          <w:pgSz w:w="11906" w:h="16838"/>
          <w:pgMar w:top="1440" w:right="1558" w:bottom="1440" w:left="1800" w:header="851" w:footer="992" w:gutter="0"/>
          <w:pgNumType w:start="1"/>
          <w:cols w:space="425" w:num="1"/>
          <w:docGrid w:type="lines" w:linePitch="312" w:charSpace="0"/>
        </w:sectPr>
      </w:pPr>
    </w:p>
    <w:p w14:paraId="7F657D50">
      <w:pPr>
        <w:spacing w:line="600" w:lineRule="exact"/>
        <w:rPr>
          <w:rFonts w:hint="eastAsia" w:ascii="黑体" w:hAnsi="黑体" w:eastAsia="黑体" w:cs="黑体"/>
          <w:color w:val="auto"/>
        </w:rPr>
      </w:pPr>
      <w:r>
        <w:rPr>
          <w:rFonts w:hint="eastAsia" w:ascii="黑体" w:hAnsi="黑体" w:eastAsia="黑体" w:cs="黑体"/>
          <w:bCs/>
          <w:color w:val="auto"/>
          <w:sz w:val="32"/>
          <w:szCs w:val="32"/>
        </w:rPr>
        <w:t>附件1</w:t>
      </w:r>
    </w:p>
    <w:p w14:paraId="0603D772">
      <w:pPr>
        <w:pStyle w:val="20"/>
        <w:ind w:firstLine="562"/>
        <w:jc w:val="center"/>
        <w:rPr>
          <w:color w:val="auto"/>
          <w:sz w:val="28"/>
          <w:szCs w:val="40"/>
        </w:rPr>
      </w:pPr>
      <w:bookmarkStart w:id="3" w:name="_Toc30064_WPSOffice_Level1"/>
      <w:bookmarkStart w:id="4" w:name="_Toc26499_WPSOffice_Level2"/>
      <w:r>
        <w:rPr>
          <w:rFonts w:hint="default"/>
          <w:b/>
          <w:bCs/>
          <w:color w:val="auto"/>
          <w:sz w:val="28"/>
          <w:szCs w:val="40"/>
          <w:lang w:val="en-US" w:eastAsia="zh-CN"/>
        </w:rPr>
        <w:t>2023</w:t>
      </w:r>
      <w:r>
        <w:rPr>
          <w:rFonts w:hint="eastAsia"/>
          <w:b/>
          <w:bCs/>
          <w:color w:val="auto"/>
          <w:sz w:val="28"/>
          <w:szCs w:val="40"/>
          <w:lang w:val="en-US" w:eastAsia="zh-CN"/>
        </w:rPr>
        <w:t>年国家和自治区安全生产帮扶指导及监督检查项目</w:t>
      </w:r>
      <w:r>
        <w:rPr>
          <w:rFonts w:hint="eastAsia"/>
          <w:b/>
          <w:bCs/>
          <w:color w:val="auto"/>
          <w:sz w:val="28"/>
          <w:szCs w:val="40"/>
        </w:rPr>
        <w:t>绩效评价指标体系综合评分表</w:t>
      </w:r>
      <w:bookmarkEnd w:id="3"/>
      <w:bookmarkEnd w:id="4"/>
    </w:p>
    <w:tbl>
      <w:tblPr>
        <w:tblStyle w:val="15"/>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27"/>
        <w:gridCol w:w="764"/>
        <w:gridCol w:w="873"/>
        <w:gridCol w:w="2352"/>
        <w:gridCol w:w="5207"/>
        <w:gridCol w:w="1299"/>
        <w:gridCol w:w="1361"/>
      </w:tblGrid>
      <w:tr w14:paraId="4ED675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6" w:type="pct"/>
            <w:shd w:val="clear" w:color="auto" w:fill="FFFFFF"/>
            <w:vAlign w:val="center"/>
          </w:tcPr>
          <w:p w14:paraId="550CFA42">
            <w:pPr>
              <w:widowControl/>
              <w:spacing w:line="0" w:lineRule="atLeast"/>
              <w:jc w:val="center"/>
              <w:rPr>
                <w:b/>
                <w:bCs/>
                <w:color w:val="auto"/>
                <w:kern w:val="0"/>
                <w:sz w:val="22"/>
                <w:szCs w:val="22"/>
              </w:rPr>
            </w:pPr>
            <w:r>
              <w:rPr>
                <w:b/>
                <w:bCs/>
                <w:color w:val="auto"/>
                <w:kern w:val="0"/>
                <w:sz w:val="22"/>
                <w:szCs w:val="22"/>
              </w:rPr>
              <w:t>一级指标</w:t>
            </w:r>
          </w:p>
        </w:tc>
        <w:tc>
          <w:tcPr>
            <w:tcW w:w="301" w:type="pct"/>
            <w:shd w:val="clear" w:color="auto" w:fill="FFFFFF"/>
            <w:vAlign w:val="center"/>
          </w:tcPr>
          <w:p w14:paraId="6D7673C6">
            <w:pPr>
              <w:widowControl/>
              <w:spacing w:line="0" w:lineRule="atLeast"/>
              <w:jc w:val="center"/>
              <w:rPr>
                <w:b/>
                <w:bCs/>
                <w:color w:val="auto"/>
                <w:kern w:val="0"/>
                <w:sz w:val="22"/>
                <w:szCs w:val="22"/>
              </w:rPr>
            </w:pPr>
            <w:r>
              <w:rPr>
                <w:b/>
                <w:bCs/>
                <w:color w:val="auto"/>
                <w:kern w:val="0"/>
                <w:sz w:val="22"/>
                <w:szCs w:val="22"/>
              </w:rPr>
              <w:t>二级指标</w:t>
            </w:r>
          </w:p>
        </w:tc>
        <w:tc>
          <w:tcPr>
            <w:tcW w:w="344" w:type="pct"/>
            <w:shd w:val="clear" w:color="auto" w:fill="FFFFFF"/>
            <w:vAlign w:val="center"/>
          </w:tcPr>
          <w:p w14:paraId="7D981539">
            <w:pPr>
              <w:widowControl/>
              <w:spacing w:line="0" w:lineRule="atLeast"/>
              <w:jc w:val="center"/>
              <w:rPr>
                <w:b/>
                <w:bCs/>
                <w:color w:val="auto"/>
                <w:kern w:val="0"/>
                <w:sz w:val="22"/>
                <w:szCs w:val="22"/>
              </w:rPr>
            </w:pPr>
            <w:r>
              <w:rPr>
                <w:b/>
                <w:bCs/>
                <w:color w:val="auto"/>
                <w:kern w:val="0"/>
                <w:sz w:val="22"/>
                <w:szCs w:val="22"/>
              </w:rPr>
              <w:t>三级指标</w:t>
            </w:r>
          </w:p>
        </w:tc>
        <w:tc>
          <w:tcPr>
            <w:tcW w:w="927" w:type="pct"/>
            <w:shd w:val="clear" w:color="auto" w:fill="FFFFFF"/>
            <w:vAlign w:val="center"/>
          </w:tcPr>
          <w:p w14:paraId="2C073D14">
            <w:pPr>
              <w:widowControl/>
              <w:spacing w:line="0" w:lineRule="atLeast"/>
              <w:jc w:val="center"/>
              <w:rPr>
                <w:b/>
                <w:bCs/>
                <w:color w:val="auto"/>
                <w:kern w:val="0"/>
                <w:sz w:val="22"/>
                <w:szCs w:val="22"/>
              </w:rPr>
            </w:pPr>
            <w:r>
              <w:rPr>
                <w:b/>
                <w:bCs/>
                <w:color w:val="auto"/>
                <w:kern w:val="0"/>
                <w:sz w:val="22"/>
                <w:szCs w:val="22"/>
              </w:rPr>
              <w:t>指标解释</w:t>
            </w:r>
          </w:p>
        </w:tc>
        <w:tc>
          <w:tcPr>
            <w:tcW w:w="2051" w:type="pct"/>
            <w:shd w:val="clear" w:color="auto" w:fill="FFFFFF"/>
            <w:vAlign w:val="center"/>
          </w:tcPr>
          <w:p w14:paraId="3AA7B680">
            <w:pPr>
              <w:widowControl/>
              <w:spacing w:line="0" w:lineRule="atLeast"/>
              <w:jc w:val="center"/>
              <w:rPr>
                <w:b/>
                <w:bCs/>
                <w:color w:val="auto"/>
                <w:kern w:val="0"/>
                <w:sz w:val="22"/>
                <w:szCs w:val="22"/>
              </w:rPr>
            </w:pPr>
            <w:r>
              <w:rPr>
                <w:b/>
                <w:bCs/>
                <w:color w:val="auto"/>
                <w:kern w:val="0"/>
                <w:sz w:val="22"/>
                <w:szCs w:val="22"/>
              </w:rPr>
              <w:t>指标说明</w:t>
            </w:r>
          </w:p>
        </w:tc>
        <w:tc>
          <w:tcPr>
            <w:tcW w:w="512" w:type="pct"/>
            <w:shd w:val="clear" w:color="auto" w:fill="FFFFFF"/>
            <w:vAlign w:val="center"/>
          </w:tcPr>
          <w:p w14:paraId="16F3BED6">
            <w:pPr>
              <w:widowControl/>
              <w:spacing w:line="0" w:lineRule="atLeast"/>
              <w:jc w:val="center"/>
              <w:rPr>
                <w:b/>
                <w:bCs/>
                <w:color w:val="auto"/>
                <w:kern w:val="0"/>
                <w:sz w:val="22"/>
                <w:szCs w:val="22"/>
              </w:rPr>
            </w:pPr>
            <w:r>
              <w:rPr>
                <w:b/>
                <w:bCs/>
                <w:color w:val="auto"/>
                <w:kern w:val="0"/>
                <w:sz w:val="22"/>
                <w:szCs w:val="22"/>
              </w:rPr>
              <w:t>权重</w:t>
            </w:r>
          </w:p>
        </w:tc>
        <w:tc>
          <w:tcPr>
            <w:tcW w:w="536" w:type="pct"/>
            <w:shd w:val="clear" w:color="auto" w:fill="FFFFFF"/>
            <w:vAlign w:val="center"/>
          </w:tcPr>
          <w:p w14:paraId="1E6B9E31">
            <w:pPr>
              <w:widowControl/>
              <w:spacing w:line="0" w:lineRule="atLeast"/>
              <w:jc w:val="center"/>
              <w:rPr>
                <w:b/>
                <w:bCs/>
                <w:color w:val="auto"/>
                <w:kern w:val="0"/>
                <w:sz w:val="22"/>
                <w:szCs w:val="22"/>
              </w:rPr>
            </w:pPr>
            <w:r>
              <w:rPr>
                <w:b/>
                <w:bCs/>
                <w:color w:val="auto"/>
                <w:kern w:val="0"/>
                <w:sz w:val="22"/>
                <w:szCs w:val="22"/>
              </w:rPr>
              <w:t>得分</w:t>
            </w:r>
          </w:p>
        </w:tc>
      </w:tr>
      <w:tr w14:paraId="338FB4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6" w:type="pct"/>
            <w:vMerge w:val="restart"/>
            <w:shd w:val="clear" w:color="auto" w:fill="FFFFFF"/>
            <w:vAlign w:val="center"/>
          </w:tcPr>
          <w:p w14:paraId="6A57596D">
            <w:pPr>
              <w:widowControl/>
              <w:spacing w:line="0" w:lineRule="atLeast"/>
              <w:jc w:val="center"/>
              <w:rPr>
                <w:color w:val="auto"/>
                <w:kern w:val="0"/>
                <w:sz w:val="22"/>
                <w:szCs w:val="22"/>
              </w:rPr>
            </w:pPr>
          </w:p>
          <w:p w14:paraId="319F8403">
            <w:pPr>
              <w:widowControl/>
              <w:spacing w:line="0" w:lineRule="atLeast"/>
              <w:jc w:val="center"/>
              <w:rPr>
                <w:color w:val="auto"/>
                <w:kern w:val="0"/>
                <w:sz w:val="22"/>
                <w:szCs w:val="22"/>
              </w:rPr>
            </w:pPr>
          </w:p>
          <w:p w14:paraId="36E13894">
            <w:pPr>
              <w:widowControl/>
              <w:spacing w:line="0" w:lineRule="atLeast"/>
              <w:jc w:val="center"/>
              <w:rPr>
                <w:color w:val="auto"/>
                <w:kern w:val="0"/>
                <w:sz w:val="22"/>
                <w:szCs w:val="22"/>
              </w:rPr>
            </w:pPr>
          </w:p>
          <w:p w14:paraId="65FEB6DB">
            <w:pPr>
              <w:widowControl/>
              <w:spacing w:line="0" w:lineRule="atLeast"/>
              <w:jc w:val="center"/>
              <w:rPr>
                <w:color w:val="auto"/>
                <w:kern w:val="0"/>
                <w:sz w:val="22"/>
                <w:szCs w:val="22"/>
              </w:rPr>
            </w:pPr>
          </w:p>
          <w:p w14:paraId="5DBAF763">
            <w:pPr>
              <w:widowControl/>
              <w:spacing w:line="0" w:lineRule="atLeast"/>
              <w:jc w:val="center"/>
              <w:rPr>
                <w:color w:val="auto"/>
                <w:kern w:val="0"/>
                <w:sz w:val="22"/>
                <w:szCs w:val="22"/>
              </w:rPr>
            </w:pPr>
          </w:p>
          <w:p w14:paraId="31031B8E">
            <w:pPr>
              <w:widowControl/>
              <w:spacing w:line="0" w:lineRule="atLeast"/>
              <w:jc w:val="center"/>
              <w:rPr>
                <w:color w:val="auto"/>
                <w:kern w:val="0"/>
                <w:sz w:val="22"/>
                <w:szCs w:val="22"/>
              </w:rPr>
            </w:pPr>
          </w:p>
          <w:p w14:paraId="3A2F9319">
            <w:pPr>
              <w:widowControl/>
              <w:spacing w:line="0" w:lineRule="atLeast"/>
              <w:jc w:val="center"/>
              <w:rPr>
                <w:color w:val="auto"/>
                <w:kern w:val="0"/>
                <w:sz w:val="22"/>
                <w:szCs w:val="22"/>
              </w:rPr>
            </w:pPr>
            <w:r>
              <w:rPr>
                <w:color w:val="auto"/>
                <w:kern w:val="0"/>
                <w:sz w:val="22"/>
                <w:szCs w:val="22"/>
              </w:rPr>
              <w:t>决策　</w:t>
            </w:r>
          </w:p>
        </w:tc>
        <w:tc>
          <w:tcPr>
            <w:tcW w:w="301" w:type="pct"/>
            <w:vMerge w:val="restart"/>
            <w:shd w:val="clear" w:color="auto" w:fill="FFFFFF"/>
            <w:vAlign w:val="center"/>
          </w:tcPr>
          <w:p w14:paraId="63D3D6F6">
            <w:pPr>
              <w:widowControl/>
              <w:spacing w:line="0" w:lineRule="atLeast"/>
              <w:jc w:val="center"/>
              <w:rPr>
                <w:color w:val="auto"/>
                <w:kern w:val="0"/>
                <w:sz w:val="22"/>
                <w:szCs w:val="22"/>
              </w:rPr>
            </w:pPr>
            <w:r>
              <w:rPr>
                <w:color w:val="auto"/>
                <w:kern w:val="0"/>
                <w:sz w:val="22"/>
                <w:szCs w:val="22"/>
              </w:rPr>
              <w:t>项目立项　</w:t>
            </w:r>
          </w:p>
        </w:tc>
        <w:tc>
          <w:tcPr>
            <w:tcW w:w="344" w:type="pct"/>
            <w:shd w:val="clear" w:color="auto" w:fill="FFFFFF"/>
            <w:vAlign w:val="center"/>
          </w:tcPr>
          <w:p w14:paraId="37C3E65D">
            <w:pPr>
              <w:widowControl/>
              <w:spacing w:line="0" w:lineRule="atLeast"/>
              <w:jc w:val="center"/>
              <w:rPr>
                <w:color w:val="auto"/>
                <w:kern w:val="0"/>
                <w:sz w:val="22"/>
                <w:szCs w:val="22"/>
              </w:rPr>
            </w:pPr>
            <w:r>
              <w:rPr>
                <w:color w:val="auto"/>
                <w:kern w:val="0"/>
                <w:sz w:val="22"/>
                <w:szCs w:val="22"/>
              </w:rPr>
              <w:t>立项依据</w:t>
            </w:r>
          </w:p>
          <w:p w14:paraId="28D133DF">
            <w:pPr>
              <w:widowControl/>
              <w:spacing w:line="0" w:lineRule="atLeast"/>
              <w:jc w:val="center"/>
              <w:rPr>
                <w:color w:val="auto"/>
                <w:kern w:val="0"/>
                <w:sz w:val="22"/>
                <w:szCs w:val="22"/>
              </w:rPr>
            </w:pPr>
            <w:r>
              <w:rPr>
                <w:color w:val="auto"/>
                <w:kern w:val="0"/>
                <w:sz w:val="22"/>
                <w:szCs w:val="22"/>
              </w:rPr>
              <w:t>充分性</w:t>
            </w:r>
          </w:p>
        </w:tc>
        <w:tc>
          <w:tcPr>
            <w:tcW w:w="927" w:type="pct"/>
            <w:shd w:val="clear" w:color="auto" w:fill="FFFFFF"/>
            <w:vAlign w:val="center"/>
          </w:tcPr>
          <w:p w14:paraId="1F4C51D9">
            <w:pPr>
              <w:widowControl/>
              <w:spacing w:line="0" w:lineRule="atLeast"/>
              <w:rPr>
                <w:color w:val="auto"/>
                <w:kern w:val="0"/>
                <w:sz w:val="22"/>
                <w:szCs w:val="22"/>
              </w:rPr>
            </w:pPr>
            <w:r>
              <w:rPr>
                <w:color w:val="auto"/>
                <w:kern w:val="0"/>
                <w:sz w:val="22"/>
                <w:szCs w:val="22"/>
              </w:rPr>
              <w:t>项目立项是否符合法律法规、相关政策、发展规划以及部门职责，用以反映和考核项目立项依据情况。</w:t>
            </w:r>
          </w:p>
        </w:tc>
        <w:tc>
          <w:tcPr>
            <w:tcW w:w="2051" w:type="pct"/>
            <w:shd w:val="clear" w:color="auto" w:fill="FFFFFF"/>
            <w:vAlign w:val="center"/>
          </w:tcPr>
          <w:p w14:paraId="122AFBFD">
            <w:pPr>
              <w:widowControl/>
              <w:spacing w:line="0" w:lineRule="atLeast"/>
              <w:jc w:val="left"/>
              <w:rPr>
                <w:color w:val="auto"/>
                <w:kern w:val="0"/>
                <w:sz w:val="22"/>
                <w:szCs w:val="22"/>
              </w:rPr>
            </w:pPr>
            <w:r>
              <w:rPr>
                <w:color w:val="auto"/>
                <w:kern w:val="0"/>
                <w:sz w:val="22"/>
                <w:szCs w:val="22"/>
              </w:rPr>
              <w:t>评价要点：</w:t>
            </w:r>
            <w:r>
              <w:rPr>
                <w:color w:val="auto"/>
                <w:kern w:val="0"/>
                <w:sz w:val="22"/>
                <w:szCs w:val="22"/>
              </w:rPr>
              <w:br w:type="textWrapping"/>
            </w:r>
            <w:r>
              <w:rPr>
                <w:color w:val="auto"/>
                <w:kern w:val="0"/>
                <w:sz w:val="22"/>
                <w:szCs w:val="22"/>
              </w:rPr>
              <w:t>①项目立项是否符合国家法律法规、国民经济发展规划和相关政策；</w:t>
            </w:r>
            <w:r>
              <w:rPr>
                <w:color w:val="auto"/>
                <w:kern w:val="0"/>
                <w:sz w:val="22"/>
                <w:szCs w:val="22"/>
              </w:rPr>
              <w:br w:type="textWrapping"/>
            </w:r>
            <w:r>
              <w:rPr>
                <w:color w:val="auto"/>
                <w:kern w:val="0"/>
                <w:sz w:val="22"/>
                <w:szCs w:val="22"/>
              </w:rPr>
              <w:t>②项目立项是否符合行业发展规划和政策要求；</w:t>
            </w:r>
            <w:r>
              <w:rPr>
                <w:color w:val="auto"/>
                <w:kern w:val="0"/>
                <w:sz w:val="22"/>
                <w:szCs w:val="22"/>
              </w:rPr>
              <w:br w:type="textWrapping"/>
            </w:r>
            <w:r>
              <w:rPr>
                <w:color w:val="auto"/>
                <w:kern w:val="0"/>
                <w:sz w:val="22"/>
                <w:szCs w:val="22"/>
              </w:rPr>
              <w:t>③项目立项是否与部门职责范围相符，属于部门履职所需；</w:t>
            </w:r>
            <w:r>
              <w:rPr>
                <w:color w:val="auto"/>
                <w:kern w:val="0"/>
                <w:sz w:val="22"/>
                <w:szCs w:val="22"/>
              </w:rPr>
              <w:br w:type="textWrapping"/>
            </w:r>
            <w:r>
              <w:rPr>
                <w:color w:val="auto"/>
                <w:kern w:val="0"/>
                <w:sz w:val="22"/>
                <w:szCs w:val="22"/>
              </w:rPr>
              <w:t>④项目是否属于公共财政支持范围，是否符合中央、地方事权支出责任划分原则；</w:t>
            </w:r>
            <w:r>
              <w:rPr>
                <w:color w:val="auto"/>
                <w:kern w:val="0"/>
                <w:sz w:val="22"/>
                <w:szCs w:val="22"/>
              </w:rPr>
              <w:br w:type="textWrapping"/>
            </w:r>
            <w:r>
              <w:rPr>
                <w:color w:val="auto"/>
                <w:kern w:val="0"/>
                <w:sz w:val="22"/>
                <w:szCs w:val="22"/>
              </w:rPr>
              <w:t>⑤项目是否与相关部门同类项目或部门内部相关项目重复。</w:t>
            </w:r>
          </w:p>
        </w:tc>
        <w:tc>
          <w:tcPr>
            <w:tcW w:w="512" w:type="pct"/>
            <w:shd w:val="clear" w:color="auto" w:fill="FFFFFF"/>
            <w:vAlign w:val="center"/>
          </w:tcPr>
          <w:p w14:paraId="714916B3">
            <w:pPr>
              <w:widowControl/>
              <w:spacing w:line="0" w:lineRule="atLeast"/>
              <w:jc w:val="center"/>
              <w:rPr>
                <w:b/>
                <w:bCs/>
                <w:color w:val="auto"/>
                <w:kern w:val="0"/>
                <w:sz w:val="22"/>
                <w:szCs w:val="22"/>
              </w:rPr>
            </w:pPr>
            <w:r>
              <w:rPr>
                <w:b/>
                <w:bCs/>
                <w:color w:val="auto"/>
                <w:kern w:val="0"/>
                <w:sz w:val="22"/>
                <w:szCs w:val="22"/>
              </w:rPr>
              <w:t>3</w:t>
            </w:r>
          </w:p>
        </w:tc>
        <w:tc>
          <w:tcPr>
            <w:tcW w:w="536" w:type="pct"/>
            <w:shd w:val="clear" w:color="auto" w:fill="FFFFFF"/>
            <w:vAlign w:val="center"/>
          </w:tcPr>
          <w:p w14:paraId="4FD16942">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757F24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6" w:type="pct"/>
            <w:vMerge w:val="continue"/>
            <w:shd w:val="clear" w:color="auto" w:fill="FFFFFF"/>
            <w:vAlign w:val="center"/>
          </w:tcPr>
          <w:p w14:paraId="3399BF4A">
            <w:pPr>
              <w:spacing w:line="0" w:lineRule="atLeast"/>
              <w:jc w:val="center"/>
              <w:rPr>
                <w:color w:val="auto"/>
                <w:kern w:val="0"/>
                <w:sz w:val="22"/>
                <w:szCs w:val="22"/>
              </w:rPr>
            </w:pPr>
          </w:p>
        </w:tc>
        <w:tc>
          <w:tcPr>
            <w:tcW w:w="301" w:type="pct"/>
            <w:vMerge w:val="continue"/>
            <w:shd w:val="clear" w:color="auto" w:fill="FFFFFF"/>
            <w:vAlign w:val="center"/>
          </w:tcPr>
          <w:p w14:paraId="00462644">
            <w:pPr>
              <w:widowControl/>
              <w:spacing w:line="0" w:lineRule="atLeast"/>
              <w:jc w:val="center"/>
              <w:rPr>
                <w:color w:val="auto"/>
                <w:kern w:val="0"/>
                <w:sz w:val="22"/>
                <w:szCs w:val="22"/>
              </w:rPr>
            </w:pPr>
          </w:p>
        </w:tc>
        <w:tc>
          <w:tcPr>
            <w:tcW w:w="344" w:type="pct"/>
            <w:shd w:val="clear" w:color="auto" w:fill="FFFFFF"/>
            <w:vAlign w:val="center"/>
          </w:tcPr>
          <w:p w14:paraId="6A62F92E">
            <w:pPr>
              <w:widowControl/>
              <w:spacing w:line="0" w:lineRule="atLeast"/>
              <w:jc w:val="center"/>
              <w:rPr>
                <w:color w:val="auto"/>
                <w:kern w:val="0"/>
                <w:sz w:val="22"/>
                <w:szCs w:val="22"/>
              </w:rPr>
            </w:pPr>
            <w:r>
              <w:rPr>
                <w:color w:val="auto"/>
                <w:kern w:val="0"/>
                <w:sz w:val="22"/>
                <w:szCs w:val="22"/>
              </w:rPr>
              <w:t>立项程序</w:t>
            </w:r>
          </w:p>
          <w:p w14:paraId="0E847F47">
            <w:pPr>
              <w:widowControl/>
              <w:spacing w:line="0" w:lineRule="atLeast"/>
              <w:jc w:val="center"/>
              <w:rPr>
                <w:color w:val="auto"/>
                <w:kern w:val="0"/>
                <w:sz w:val="22"/>
                <w:szCs w:val="22"/>
              </w:rPr>
            </w:pPr>
            <w:r>
              <w:rPr>
                <w:color w:val="auto"/>
                <w:kern w:val="0"/>
                <w:sz w:val="22"/>
                <w:szCs w:val="22"/>
              </w:rPr>
              <w:t>规范性</w:t>
            </w:r>
          </w:p>
        </w:tc>
        <w:tc>
          <w:tcPr>
            <w:tcW w:w="927" w:type="pct"/>
            <w:shd w:val="clear" w:color="auto" w:fill="FFFFFF"/>
            <w:vAlign w:val="center"/>
          </w:tcPr>
          <w:p w14:paraId="3F3C27D6">
            <w:pPr>
              <w:widowControl/>
              <w:spacing w:line="0" w:lineRule="atLeast"/>
              <w:rPr>
                <w:color w:val="auto"/>
                <w:kern w:val="0"/>
                <w:sz w:val="22"/>
                <w:szCs w:val="22"/>
              </w:rPr>
            </w:pPr>
            <w:r>
              <w:rPr>
                <w:color w:val="auto"/>
                <w:kern w:val="0"/>
                <w:sz w:val="22"/>
                <w:szCs w:val="22"/>
              </w:rPr>
              <w:t>项目申请、设立过程是否符合相关要求，用以反映和考核项目立项的规范情况。</w:t>
            </w:r>
          </w:p>
        </w:tc>
        <w:tc>
          <w:tcPr>
            <w:tcW w:w="2051" w:type="pct"/>
            <w:shd w:val="clear" w:color="auto" w:fill="FFFFFF"/>
            <w:vAlign w:val="center"/>
          </w:tcPr>
          <w:p w14:paraId="13F18E9D">
            <w:pPr>
              <w:widowControl/>
              <w:spacing w:line="0" w:lineRule="atLeast"/>
              <w:jc w:val="left"/>
              <w:rPr>
                <w:color w:val="auto"/>
                <w:kern w:val="0"/>
                <w:sz w:val="22"/>
                <w:szCs w:val="22"/>
              </w:rPr>
            </w:pPr>
            <w:r>
              <w:rPr>
                <w:color w:val="auto"/>
                <w:kern w:val="0"/>
                <w:sz w:val="22"/>
                <w:szCs w:val="22"/>
              </w:rPr>
              <w:t>评价要点：</w:t>
            </w:r>
            <w:r>
              <w:rPr>
                <w:color w:val="auto"/>
                <w:kern w:val="0"/>
                <w:sz w:val="22"/>
                <w:szCs w:val="22"/>
              </w:rPr>
              <w:br w:type="textWrapping"/>
            </w:r>
            <w:r>
              <w:rPr>
                <w:color w:val="auto"/>
                <w:kern w:val="0"/>
                <w:sz w:val="22"/>
                <w:szCs w:val="22"/>
              </w:rPr>
              <w:t>①项目是否按照规定的程序申请设立；</w:t>
            </w:r>
            <w:r>
              <w:rPr>
                <w:color w:val="auto"/>
                <w:kern w:val="0"/>
                <w:sz w:val="22"/>
                <w:szCs w:val="22"/>
              </w:rPr>
              <w:br w:type="textWrapping"/>
            </w:r>
            <w:r>
              <w:rPr>
                <w:color w:val="auto"/>
                <w:kern w:val="0"/>
                <w:sz w:val="22"/>
                <w:szCs w:val="22"/>
              </w:rPr>
              <w:t>②审批文件、材料是否符合相关要求；</w:t>
            </w:r>
            <w:r>
              <w:rPr>
                <w:color w:val="auto"/>
                <w:kern w:val="0"/>
                <w:sz w:val="22"/>
                <w:szCs w:val="22"/>
              </w:rPr>
              <w:br w:type="textWrapping"/>
            </w:r>
            <w:r>
              <w:rPr>
                <w:color w:val="auto"/>
                <w:kern w:val="0"/>
                <w:sz w:val="22"/>
                <w:szCs w:val="22"/>
              </w:rPr>
              <w:t>③事前是否已经过必要的可行性研究、专家论证、风险评估、绩效评估、集体决策。</w:t>
            </w:r>
          </w:p>
        </w:tc>
        <w:tc>
          <w:tcPr>
            <w:tcW w:w="512" w:type="pct"/>
            <w:shd w:val="clear" w:color="auto" w:fill="FFFFFF"/>
            <w:vAlign w:val="center"/>
          </w:tcPr>
          <w:p w14:paraId="07969426">
            <w:pPr>
              <w:widowControl/>
              <w:spacing w:line="0" w:lineRule="atLeast"/>
              <w:jc w:val="center"/>
              <w:rPr>
                <w:b/>
                <w:bCs/>
                <w:color w:val="auto"/>
                <w:kern w:val="0"/>
                <w:sz w:val="22"/>
                <w:szCs w:val="22"/>
              </w:rPr>
            </w:pPr>
            <w:r>
              <w:rPr>
                <w:b/>
                <w:bCs/>
                <w:color w:val="auto"/>
                <w:kern w:val="0"/>
                <w:sz w:val="22"/>
                <w:szCs w:val="22"/>
              </w:rPr>
              <w:t>3</w:t>
            </w:r>
          </w:p>
        </w:tc>
        <w:tc>
          <w:tcPr>
            <w:tcW w:w="536" w:type="pct"/>
            <w:shd w:val="clear" w:color="auto" w:fill="FFFFFF"/>
            <w:vAlign w:val="center"/>
          </w:tcPr>
          <w:p w14:paraId="75084AD7">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1DAAC8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6" w:type="pct"/>
            <w:vMerge w:val="continue"/>
            <w:shd w:val="clear" w:color="auto" w:fill="FFFFFF"/>
            <w:vAlign w:val="center"/>
          </w:tcPr>
          <w:p w14:paraId="33AC5299">
            <w:pPr>
              <w:spacing w:line="0" w:lineRule="atLeast"/>
              <w:jc w:val="center"/>
              <w:rPr>
                <w:color w:val="auto"/>
                <w:kern w:val="0"/>
                <w:sz w:val="22"/>
                <w:szCs w:val="22"/>
              </w:rPr>
            </w:pPr>
          </w:p>
        </w:tc>
        <w:tc>
          <w:tcPr>
            <w:tcW w:w="301" w:type="pct"/>
            <w:vMerge w:val="restart"/>
            <w:shd w:val="clear" w:color="auto" w:fill="FFFFFF"/>
            <w:vAlign w:val="center"/>
          </w:tcPr>
          <w:p w14:paraId="2CC929D2">
            <w:pPr>
              <w:widowControl/>
              <w:spacing w:line="0" w:lineRule="atLeast"/>
              <w:jc w:val="center"/>
              <w:rPr>
                <w:color w:val="auto"/>
                <w:kern w:val="0"/>
                <w:sz w:val="22"/>
                <w:szCs w:val="22"/>
              </w:rPr>
            </w:pPr>
            <w:r>
              <w:rPr>
                <w:color w:val="auto"/>
                <w:kern w:val="0"/>
                <w:sz w:val="22"/>
                <w:szCs w:val="22"/>
              </w:rPr>
              <w:t>绩效目标　</w:t>
            </w:r>
          </w:p>
        </w:tc>
        <w:tc>
          <w:tcPr>
            <w:tcW w:w="344" w:type="pct"/>
            <w:shd w:val="clear" w:color="auto" w:fill="FFFFFF"/>
            <w:vAlign w:val="center"/>
          </w:tcPr>
          <w:p w14:paraId="041793E1">
            <w:pPr>
              <w:widowControl/>
              <w:spacing w:line="0" w:lineRule="atLeast"/>
              <w:jc w:val="center"/>
              <w:rPr>
                <w:color w:val="auto"/>
                <w:kern w:val="0"/>
                <w:sz w:val="22"/>
                <w:szCs w:val="22"/>
              </w:rPr>
            </w:pPr>
            <w:r>
              <w:rPr>
                <w:color w:val="auto"/>
                <w:kern w:val="0"/>
                <w:sz w:val="22"/>
                <w:szCs w:val="22"/>
              </w:rPr>
              <w:t>绩效目标</w:t>
            </w:r>
          </w:p>
          <w:p w14:paraId="18AF310F">
            <w:pPr>
              <w:widowControl/>
              <w:spacing w:line="0" w:lineRule="atLeast"/>
              <w:jc w:val="center"/>
              <w:rPr>
                <w:color w:val="auto"/>
                <w:kern w:val="0"/>
                <w:sz w:val="22"/>
                <w:szCs w:val="22"/>
              </w:rPr>
            </w:pPr>
            <w:r>
              <w:rPr>
                <w:color w:val="auto"/>
                <w:kern w:val="0"/>
                <w:sz w:val="22"/>
                <w:szCs w:val="22"/>
              </w:rPr>
              <w:t>合理性</w:t>
            </w:r>
          </w:p>
        </w:tc>
        <w:tc>
          <w:tcPr>
            <w:tcW w:w="927" w:type="pct"/>
            <w:shd w:val="clear" w:color="000000" w:fill="FFFFFF"/>
            <w:vAlign w:val="center"/>
          </w:tcPr>
          <w:p w14:paraId="2A18F23F">
            <w:pPr>
              <w:widowControl/>
              <w:spacing w:line="0" w:lineRule="atLeast"/>
              <w:rPr>
                <w:color w:val="auto"/>
                <w:kern w:val="0"/>
                <w:sz w:val="22"/>
                <w:szCs w:val="22"/>
              </w:rPr>
            </w:pPr>
            <w:r>
              <w:rPr>
                <w:color w:val="auto"/>
                <w:kern w:val="0"/>
                <w:sz w:val="22"/>
                <w:szCs w:val="22"/>
              </w:rPr>
              <w:t>项目所设定的绩效目标是否依据充分，是否符合客观实际，用以反映和考核项目绩效目标与项目实施的相符情况。</w:t>
            </w:r>
          </w:p>
        </w:tc>
        <w:tc>
          <w:tcPr>
            <w:tcW w:w="2051" w:type="pct"/>
            <w:shd w:val="clear" w:color="000000" w:fill="FFFFFF"/>
            <w:vAlign w:val="center"/>
          </w:tcPr>
          <w:p w14:paraId="3EE5A833">
            <w:pPr>
              <w:widowControl/>
              <w:spacing w:line="0" w:lineRule="atLeast"/>
              <w:jc w:val="left"/>
              <w:rPr>
                <w:color w:val="auto"/>
                <w:kern w:val="0"/>
                <w:sz w:val="22"/>
                <w:szCs w:val="22"/>
              </w:rPr>
            </w:pPr>
            <w:r>
              <w:rPr>
                <w:color w:val="auto"/>
                <w:kern w:val="0"/>
                <w:sz w:val="22"/>
                <w:szCs w:val="22"/>
              </w:rPr>
              <w:t>评价要点：</w:t>
            </w:r>
            <w:r>
              <w:rPr>
                <w:color w:val="auto"/>
                <w:kern w:val="0"/>
                <w:sz w:val="22"/>
                <w:szCs w:val="22"/>
              </w:rPr>
              <w:br w:type="textWrapping"/>
            </w:r>
            <w:r>
              <w:rPr>
                <w:color w:val="auto"/>
                <w:kern w:val="0"/>
                <w:sz w:val="22"/>
                <w:szCs w:val="22"/>
              </w:rPr>
              <w:t>（如未设定预算绩效目标，也可考核其他工作任务目标）</w:t>
            </w:r>
            <w:r>
              <w:rPr>
                <w:color w:val="auto"/>
                <w:kern w:val="0"/>
                <w:sz w:val="22"/>
                <w:szCs w:val="22"/>
              </w:rPr>
              <w:br w:type="textWrapping"/>
            </w:r>
            <w:r>
              <w:rPr>
                <w:color w:val="auto"/>
                <w:kern w:val="0"/>
                <w:sz w:val="22"/>
                <w:szCs w:val="22"/>
              </w:rPr>
              <w:t>①项目是否有绩效目标；</w:t>
            </w:r>
            <w:r>
              <w:rPr>
                <w:color w:val="auto"/>
                <w:kern w:val="0"/>
                <w:sz w:val="22"/>
                <w:szCs w:val="22"/>
              </w:rPr>
              <w:br w:type="textWrapping"/>
            </w:r>
            <w:r>
              <w:rPr>
                <w:color w:val="auto"/>
                <w:kern w:val="0"/>
                <w:sz w:val="22"/>
                <w:szCs w:val="22"/>
              </w:rPr>
              <w:t>②项目绩效目标与实际工作内容是否具有相关性；</w:t>
            </w:r>
            <w:r>
              <w:rPr>
                <w:color w:val="auto"/>
                <w:kern w:val="0"/>
                <w:sz w:val="22"/>
                <w:szCs w:val="22"/>
              </w:rPr>
              <w:br w:type="textWrapping"/>
            </w:r>
            <w:r>
              <w:rPr>
                <w:color w:val="auto"/>
                <w:kern w:val="0"/>
                <w:sz w:val="22"/>
                <w:szCs w:val="22"/>
              </w:rPr>
              <w:t>③项目预期产出效益和效果是否符合正常的业绩水平；</w:t>
            </w:r>
          </w:p>
          <w:p w14:paraId="5C51A7A9">
            <w:pPr>
              <w:widowControl/>
              <w:spacing w:line="0" w:lineRule="atLeast"/>
              <w:jc w:val="left"/>
              <w:rPr>
                <w:color w:val="auto"/>
                <w:kern w:val="0"/>
                <w:sz w:val="22"/>
                <w:szCs w:val="22"/>
              </w:rPr>
            </w:pPr>
            <w:r>
              <w:rPr>
                <w:color w:val="auto"/>
                <w:kern w:val="0"/>
                <w:sz w:val="22"/>
                <w:szCs w:val="22"/>
              </w:rPr>
              <w:t>④是否与预算确定的项目投资额或资金量相匹配。</w:t>
            </w:r>
          </w:p>
        </w:tc>
        <w:tc>
          <w:tcPr>
            <w:tcW w:w="512" w:type="pct"/>
            <w:shd w:val="clear" w:color="000000" w:fill="FFFFFF"/>
            <w:vAlign w:val="center"/>
          </w:tcPr>
          <w:p w14:paraId="00CF0B06">
            <w:pPr>
              <w:widowControl/>
              <w:spacing w:line="0" w:lineRule="atLeast"/>
              <w:jc w:val="center"/>
              <w:rPr>
                <w:b/>
                <w:bCs/>
                <w:color w:val="auto"/>
                <w:kern w:val="0"/>
                <w:sz w:val="22"/>
                <w:szCs w:val="22"/>
              </w:rPr>
            </w:pPr>
            <w:r>
              <w:rPr>
                <w:b/>
                <w:bCs/>
                <w:color w:val="auto"/>
                <w:kern w:val="0"/>
                <w:sz w:val="22"/>
                <w:szCs w:val="22"/>
              </w:rPr>
              <w:t>3</w:t>
            </w:r>
          </w:p>
        </w:tc>
        <w:tc>
          <w:tcPr>
            <w:tcW w:w="536" w:type="pct"/>
            <w:shd w:val="clear" w:color="000000" w:fill="FFFFFF"/>
            <w:vAlign w:val="center"/>
          </w:tcPr>
          <w:p w14:paraId="75E2E463">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732D44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6" w:type="pct"/>
            <w:vMerge w:val="continue"/>
            <w:shd w:val="clear" w:color="auto" w:fill="FFFFFF"/>
            <w:vAlign w:val="center"/>
          </w:tcPr>
          <w:p w14:paraId="1CB600AA">
            <w:pPr>
              <w:widowControl/>
              <w:spacing w:line="0" w:lineRule="atLeast"/>
              <w:jc w:val="center"/>
              <w:rPr>
                <w:color w:val="auto"/>
                <w:kern w:val="0"/>
                <w:sz w:val="22"/>
                <w:szCs w:val="22"/>
              </w:rPr>
            </w:pPr>
          </w:p>
        </w:tc>
        <w:tc>
          <w:tcPr>
            <w:tcW w:w="301" w:type="pct"/>
            <w:vMerge w:val="continue"/>
            <w:shd w:val="clear" w:color="auto" w:fill="FFFFFF"/>
            <w:vAlign w:val="center"/>
          </w:tcPr>
          <w:p w14:paraId="263ECCA4">
            <w:pPr>
              <w:widowControl/>
              <w:spacing w:line="0" w:lineRule="atLeast"/>
              <w:jc w:val="center"/>
              <w:rPr>
                <w:color w:val="auto"/>
                <w:kern w:val="0"/>
                <w:sz w:val="22"/>
                <w:szCs w:val="22"/>
              </w:rPr>
            </w:pPr>
          </w:p>
        </w:tc>
        <w:tc>
          <w:tcPr>
            <w:tcW w:w="344" w:type="pct"/>
            <w:shd w:val="clear" w:color="auto" w:fill="FFFFFF"/>
            <w:vAlign w:val="center"/>
          </w:tcPr>
          <w:p w14:paraId="01280CF3">
            <w:pPr>
              <w:widowControl/>
              <w:spacing w:line="0" w:lineRule="atLeast"/>
              <w:jc w:val="center"/>
              <w:rPr>
                <w:color w:val="auto"/>
                <w:kern w:val="0"/>
                <w:sz w:val="22"/>
                <w:szCs w:val="22"/>
              </w:rPr>
            </w:pPr>
            <w:r>
              <w:rPr>
                <w:color w:val="auto"/>
                <w:kern w:val="0"/>
                <w:sz w:val="22"/>
                <w:szCs w:val="22"/>
              </w:rPr>
              <w:t>绩效指标</w:t>
            </w:r>
          </w:p>
          <w:p w14:paraId="3ABD291C">
            <w:pPr>
              <w:widowControl/>
              <w:spacing w:line="0" w:lineRule="atLeast"/>
              <w:jc w:val="center"/>
              <w:rPr>
                <w:color w:val="auto"/>
                <w:kern w:val="0"/>
                <w:sz w:val="22"/>
                <w:szCs w:val="22"/>
              </w:rPr>
            </w:pPr>
            <w:r>
              <w:rPr>
                <w:color w:val="auto"/>
                <w:kern w:val="0"/>
                <w:sz w:val="22"/>
                <w:szCs w:val="22"/>
              </w:rPr>
              <w:t>明确性</w:t>
            </w:r>
          </w:p>
        </w:tc>
        <w:tc>
          <w:tcPr>
            <w:tcW w:w="927" w:type="pct"/>
            <w:shd w:val="clear" w:color="000000" w:fill="FFFFFF"/>
            <w:vAlign w:val="center"/>
          </w:tcPr>
          <w:p w14:paraId="42E82894">
            <w:pPr>
              <w:widowControl/>
              <w:spacing w:line="0" w:lineRule="atLeast"/>
              <w:rPr>
                <w:color w:val="auto"/>
                <w:kern w:val="0"/>
                <w:sz w:val="22"/>
                <w:szCs w:val="22"/>
              </w:rPr>
            </w:pPr>
            <w:r>
              <w:rPr>
                <w:color w:val="auto"/>
                <w:kern w:val="0"/>
                <w:sz w:val="22"/>
                <w:szCs w:val="22"/>
              </w:rPr>
              <w:t>依据绩效目标设定的绩效指标是否清晰、细化、可衡量等，用以反映和考核项目绩效目标的明细化情况。</w:t>
            </w:r>
          </w:p>
        </w:tc>
        <w:tc>
          <w:tcPr>
            <w:tcW w:w="2051" w:type="pct"/>
            <w:shd w:val="clear" w:color="000000" w:fill="FFFFFF"/>
            <w:vAlign w:val="center"/>
          </w:tcPr>
          <w:p w14:paraId="4DEE4901">
            <w:pPr>
              <w:widowControl/>
              <w:spacing w:line="0" w:lineRule="atLeast"/>
              <w:rPr>
                <w:color w:val="auto"/>
                <w:kern w:val="0"/>
                <w:sz w:val="22"/>
                <w:szCs w:val="22"/>
              </w:rPr>
            </w:pPr>
            <w:r>
              <w:rPr>
                <w:color w:val="auto"/>
                <w:kern w:val="0"/>
                <w:sz w:val="22"/>
                <w:szCs w:val="22"/>
              </w:rPr>
              <w:t>评价要点：</w:t>
            </w:r>
            <w:r>
              <w:rPr>
                <w:color w:val="auto"/>
                <w:kern w:val="0"/>
                <w:sz w:val="22"/>
                <w:szCs w:val="22"/>
              </w:rPr>
              <w:br w:type="textWrapping"/>
            </w:r>
            <w:r>
              <w:rPr>
                <w:color w:val="auto"/>
                <w:kern w:val="0"/>
                <w:sz w:val="22"/>
                <w:szCs w:val="22"/>
              </w:rPr>
              <w:t>①是否将项目绩效目标细化分解为具体的绩效指标；</w:t>
            </w:r>
            <w:r>
              <w:rPr>
                <w:color w:val="auto"/>
                <w:kern w:val="0"/>
                <w:sz w:val="22"/>
                <w:szCs w:val="22"/>
              </w:rPr>
              <w:br w:type="textWrapping"/>
            </w:r>
            <w:r>
              <w:rPr>
                <w:color w:val="auto"/>
                <w:kern w:val="0"/>
                <w:sz w:val="22"/>
                <w:szCs w:val="22"/>
              </w:rPr>
              <w:t>②是否通过清晰、可衡量的指标值予以体现；</w:t>
            </w:r>
            <w:r>
              <w:rPr>
                <w:color w:val="auto"/>
                <w:kern w:val="0"/>
                <w:sz w:val="22"/>
                <w:szCs w:val="22"/>
              </w:rPr>
              <w:br w:type="textWrapping"/>
            </w:r>
            <w:r>
              <w:rPr>
                <w:color w:val="auto"/>
                <w:kern w:val="0"/>
                <w:sz w:val="22"/>
                <w:szCs w:val="22"/>
              </w:rPr>
              <w:t>③是否与项目目标任务数或计划数相对应。</w:t>
            </w:r>
            <w:r>
              <w:rPr>
                <w:color w:val="auto"/>
                <w:kern w:val="0"/>
                <w:sz w:val="22"/>
                <w:szCs w:val="22"/>
              </w:rPr>
              <w:br w:type="textWrapping"/>
            </w:r>
          </w:p>
        </w:tc>
        <w:tc>
          <w:tcPr>
            <w:tcW w:w="512" w:type="pct"/>
            <w:shd w:val="clear" w:color="000000" w:fill="FFFFFF"/>
            <w:vAlign w:val="center"/>
          </w:tcPr>
          <w:p w14:paraId="09FA1CF2">
            <w:pPr>
              <w:widowControl/>
              <w:spacing w:line="0" w:lineRule="atLeast"/>
              <w:jc w:val="center"/>
              <w:rPr>
                <w:b/>
                <w:bCs/>
                <w:color w:val="auto"/>
                <w:kern w:val="0"/>
                <w:sz w:val="22"/>
                <w:szCs w:val="22"/>
              </w:rPr>
            </w:pPr>
            <w:r>
              <w:rPr>
                <w:b/>
                <w:bCs/>
                <w:color w:val="auto"/>
                <w:kern w:val="0"/>
                <w:sz w:val="22"/>
                <w:szCs w:val="22"/>
              </w:rPr>
              <w:t>3</w:t>
            </w:r>
          </w:p>
        </w:tc>
        <w:tc>
          <w:tcPr>
            <w:tcW w:w="536" w:type="pct"/>
            <w:shd w:val="clear" w:color="000000" w:fill="FFFFFF"/>
            <w:vAlign w:val="center"/>
          </w:tcPr>
          <w:p w14:paraId="4B9790B6">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1516AC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6" w:type="pct"/>
            <w:vMerge w:val="continue"/>
            <w:shd w:val="clear" w:color="auto" w:fill="FFFFFF"/>
            <w:vAlign w:val="center"/>
          </w:tcPr>
          <w:p w14:paraId="3778A054">
            <w:pPr>
              <w:spacing w:line="0" w:lineRule="atLeast"/>
              <w:jc w:val="center"/>
              <w:rPr>
                <w:color w:val="auto"/>
                <w:kern w:val="0"/>
                <w:sz w:val="22"/>
                <w:szCs w:val="22"/>
              </w:rPr>
            </w:pPr>
          </w:p>
        </w:tc>
        <w:tc>
          <w:tcPr>
            <w:tcW w:w="301" w:type="pct"/>
            <w:vMerge w:val="restart"/>
            <w:shd w:val="clear" w:color="auto" w:fill="FFFFFF"/>
            <w:vAlign w:val="center"/>
          </w:tcPr>
          <w:p w14:paraId="7A94A957">
            <w:pPr>
              <w:widowControl/>
              <w:spacing w:line="0" w:lineRule="atLeast"/>
              <w:jc w:val="center"/>
              <w:rPr>
                <w:color w:val="auto"/>
                <w:kern w:val="0"/>
                <w:sz w:val="22"/>
                <w:szCs w:val="22"/>
              </w:rPr>
            </w:pPr>
            <w:r>
              <w:rPr>
                <w:color w:val="auto"/>
                <w:kern w:val="0"/>
                <w:sz w:val="22"/>
                <w:szCs w:val="22"/>
              </w:rPr>
              <w:t>资金投入</w:t>
            </w:r>
          </w:p>
          <w:p w14:paraId="4AC3B590">
            <w:pPr>
              <w:spacing w:line="0" w:lineRule="atLeast"/>
              <w:jc w:val="center"/>
              <w:rPr>
                <w:color w:val="auto"/>
                <w:kern w:val="0"/>
                <w:sz w:val="22"/>
                <w:szCs w:val="22"/>
              </w:rPr>
            </w:pPr>
            <w:r>
              <w:rPr>
                <w:color w:val="auto"/>
                <w:kern w:val="0"/>
                <w:sz w:val="22"/>
                <w:szCs w:val="22"/>
              </w:rPr>
              <w:t>　</w:t>
            </w:r>
          </w:p>
        </w:tc>
        <w:tc>
          <w:tcPr>
            <w:tcW w:w="344" w:type="pct"/>
            <w:shd w:val="clear" w:color="auto" w:fill="FFFFFF"/>
            <w:vAlign w:val="center"/>
          </w:tcPr>
          <w:p w14:paraId="65023237">
            <w:pPr>
              <w:widowControl/>
              <w:spacing w:line="0" w:lineRule="atLeast"/>
              <w:jc w:val="center"/>
              <w:rPr>
                <w:color w:val="auto"/>
                <w:kern w:val="0"/>
                <w:sz w:val="22"/>
                <w:szCs w:val="22"/>
              </w:rPr>
            </w:pPr>
            <w:r>
              <w:rPr>
                <w:color w:val="auto"/>
                <w:kern w:val="0"/>
                <w:sz w:val="22"/>
                <w:szCs w:val="22"/>
              </w:rPr>
              <w:t>预算编制</w:t>
            </w:r>
          </w:p>
          <w:p w14:paraId="329B8006">
            <w:pPr>
              <w:widowControl/>
              <w:spacing w:line="0" w:lineRule="atLeast"/>
              <w:jc w:val="center"/>
              <w:rPr>
                <w:color w:val="auto"/>
                <w:kern w:val="0"/>
                <w:sz w:val="22"/>
                <w:szCs w:val="22"/>
              </w:rPr>
            </w:pPr>
            <w:r>
              <w:rPr>
                <w:color w:val="auto"/>
                <w:kern w:val="0"/>
                <w:sz w:val="22"/>
                <w:szCs w:val="22"/>
              </w:rPr>
              <w:t>科学性</w:t>
            </w:r>
          </w:p>
        </w:tc>
        <w:tc>
          <w:tcPr>
            <w:tcW w:w="927" w:type="pct"/>
            <w:shd w:val="clear" w:color="auto" w:fill="FFFFFF"/>
            <w:vAlign w:val="center"/>
          </w:tcPr>
          <w:p w14:paraId="5634128E">
            <w:pPr>
              <w:widowControl/>
              <w:spacing w:line="0" w:lineRule="atLeast"/>
              <w:rPr>
                <w:color w:val="auto"/>
                <w:kern w:val="0"/>
                <w:sz w:val="22"/>
                <w:szCs w:val="22"/>
              </w:rPr>
            </w:pPr>
            <w:r>
              <w:rPr>
                <w:color w:val="auto"/>
                <w:kern w:val="0"/>
                <w:sz w:val="22"/>
                <w:szCs w:val="22"/>
              </w:rPr>
              <w:t>项目预算编制是否经过科学论证、有明确标准，资金额度与年度目标是否相适应，用以反映和考核项目预算编制的科学性、合理性情况。</w:t>
            </w:r>
          </w:p>
        </w:tc>
        <w:tc>
          <w:tcPr>
            <w:tcW w:w="2051" w:type="pct"/>
            <w:shd w:val="clear" w:color="auto" w:fill="FFFFFF"/>
            <w:vAlign w:val="center"/>
          </w:tcPr>
          <w:p w14:paraId="1610D198">
            <w:pPr>
              <w:widowControl/>
              <w:spacing w:line="0" w:lineRule="atLeast"/>
              <w:rPr>
                <w:color w:val="auto"/>
                <w:kern w:val="0"/>
                <w:sz w:val="22"/>
                <w:szCs w:val="22"/>
              </w:rPr>
            </w:pPr>
            <w:r>
              <w:rPr>
                <w:color w:val="auto"/>
                <w:kern w:val="0"/>
                <w:sz w:val="22"/>
                <w:szCs w:val="22"/>
              </w:rPr>
              <w:t>评价要点：</w:t>
            </w:r>
            <w:r>
              <w:rPr>
                <w:color w:val="auto"/>
                <w:kern w:val="0"/>
                <w:sz w:val="22"/>
                <w:szCs w:val="22"/>
              </w:rPr>
              <w:br w:type="textWrapping"/>
            </w:r>
            <w:r>
              <w:rPr>
                <w:color w:val="auto"/>
                <w:kern w:val="0"/>
                <w:sz w:val="22"/>
                <w:szCs w:val="22"/>
              </w:rPr>
              <w:t>①预算编制是否经过科学论证；</w:t>
            </w:r>
            <w:r>
              <w:rPr>
                <w:color w:val="auto"/>
                <w:kern w:val="0"/>
                <w:sz w:val="22"/>
                <w:szCs w:val="22"/>
              </w:rPr>
              <w:br w:type="textWrapping"/>
            </w:r>
            <w:r>
              <w:rPr>
                <w:color w:val="auto"/>
                <w:kern w:val="0"/>
                <w:sz w:val="22"/>
                <w:szCs w:val="22"/>
              </w:rPr>
              <w:t>②预算内容与项目内容是否匹配；</w:t>
            </w:r>
            <w:r>
              <w:rPr>
                <w:color w:val="auto"/>
                <w:kern w:val="0"/>
                <w:sz w:val="22"/>
                <w:szCs w:val="22"/>
              </w:rPr>
              <w:br w:type="textWrapping"/>
            </w:r>
            <w:r>
              <w:rPr>
                <w:color w:val="auto"/>
                <w:kern w:val="0"/>
                <w:sz w:val="22"/>
                <w:szCs w:val="22"/>
              </w:rPr>
              <w:t>③预算额度测算依据是否充分，是否按照标准编制；</w:t>
            </w:r>
            <w:r>
              <w:rPr>
                <w:color w:val="auto"/>
                <w:kern w:val="0"/>
                <w:sz w:val="22"/>
                <w:szCs w:val="22"/>
              </w:rPr>
              <w:br w:type="textWrapping"/>
            </w:r>
            <w:r>
              <w:rPr>
                <w:color w:val="auto"/>
                <w:kern w:val="0"/>
                <w:sz w:val="22"/>
                <w:szCs w:val="22"/>
              </w:rPr>
              <w:t>④预算确定的项目投资额或资金量是否与工作任务相匹配。</w:t>
            </w:r>
          </w:p>
        </w:tc>
        <w:tc>
          <w:tcPr>
            <w:tcW w:w="512" w:type="pct"/>
            <w:shd w:val="clear" w:color="auto" w:fill="FFFFFF"/>
            <w:vAlign w:val="center"/>
          </w:tcPr>
          <w:p w14:paraId="4F33FC24">
            <w:pPr>
              <w:widowControl/>
              <w:spacing w:line="0" w:lineRule="atLeast"/>
              <w:jc w:val="center"/>
              <w:rPr>
                <w:b/>
                <w:bCs/>
                <w:color w:val="auto"/>
                <w:kern w:val="0"/>
                <w:sz w:val="22"/>
                <w:szCs w:val="22"/>
              </w:rPr>
            </w:pPr>
            <w:r>
              <w:rPr>
                <w:b/>
                <w:bCs/>
                <w:color w:val="auto"/>
                <w:kern w:val="0"/>
                <w:sz w:val="22"/>
                <w:szCs w:val="22"/>
              </w:rPr>
              <w:t>4</w:t>
            </w:r>
          </w:p>
        </w:tc>
        <w:tc>
          <w:tcPr>
            <w:tcW w:w="536" w:type="pct"/>
            <w:shd w:val="clear" w:color="auto" w:fill="FFFFFF"/>
            <w:vAlign w:val="center"/>
          </w:tcPr>
          <w:p w14:paraId="1610E1F9">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16EB30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6" w:type="pct"/>
            <w:vMerge w:val="continue"/>
            <w:shd w:val="clear" w:color="auto" w:fill="FFFFFF"/>
            <w:vAlign w:val="center"/>
          </w:tcPr>
          <w:p w14:paraId="4323A746">
            <w:pPr>
              <w:widowControl/>
              <w:spacing w:line="0" w:lineRule="atLeast"/>
              <w:jc w:val="center"/>
              <w:rPr>
                <w:color w:val="auto"/>
                <w:kern w:val="0"/>
                <w:sz w:val="22"/>
                <w:szCs w:val="22"/>
              </w:rPr>
            </w:pPr>
          </w:p>
        </w:tc>
        <w:tc>
          <w:tcPr>
            <w:tcW w:w="301" w:type="pct"/>
            <w:vMerge w:val="continue"/>
            <w:shd w:val="clear" w:color="auto" w:fill="FFFFFF"/>
            <w:vAlign w:val="center"/>
          </w:tcPr>
          <w:p w14:paraId="38459692">
            <w:pPr>
              <w:widowControl/>
              <w:spacing w:line="0" w:lineRule="atLeast"/>
              <w:jc w:val="center"/>
              <w:rPr>
                <w:color w:val="auto"/>
                <w:kern w:val="0"/>
                <w:sz w:val="22"/>
                <w:szCs w:val="22"/>
              </w:rPr>
            </w:pPr>
          </w:p>
        </w:tc>
        <w:tc>
          <w:tcPr>
            <w:tcW w:w="344" w:type="pct"/>
            <w:shd w:val="clear" w:color="auto" w:fill="FFFFFF"/>
            <w:vAlign w:val="center"/>
          </w:tcPr>
          <w:p w14:paraId="69DD12FB">
            <w:pPr>
              <w:widowControl/>
              <w:spacing w:line="0" w:lineRule="atLeast"/>
              <w:jc w:val="center"/>
              <w:rPr>
                <w:color w:val="auto"/>
                <w:kern w:val="0"/>
                <w:sz w:val="22"/>
                <w:szCs w:val="22"/>
              </w:rPr>
            </w:pPr>
            <w:r>
              <w:rPr>
                <w:color w:val="auto"/>
                <w:kern w:val="0"/>
                <w:sz w:val="22"/>
                <w:szCs w:val="22"/>
              </w:rPr>
              <w:t>资金分配</w:t>
            </w:r>
          </w:p>
          <w:p w14:paraId="5FCEFD89">
            <w:pPr>
              <w:widowControl/>
              <w:spacing w:line="0" w:lineRule="atLeast"/>
              <w:jc w:val="center"/>
              <w:rPr>
                <w:color w:val="auto"/>
                <w:kern w:val="0"/>
                <w:sz w:val="22"/>
                <w:szCs w:val="22"/>
              </w:rPr>
            </w:pPr>
            <w:r>
              <w:rPr>
                <w:color w:val="auto"/>
                <w:kern w:val="0"/>
                <w:sz w:val="22"/>
                <w:szCs w:val="22"/>
              </w:rPr>
              <w:t>合理性</w:t>
            </w:r>
          </w:p>
        </w:tc>
        <w:tc>
          <w:tcPr>
            <w:tcW w:w="927" w:type="pct"/>
            <w:shd w:val="clear" w:color="auto" w:fill="FFFFFF"/>
            <w:vAlign w:val="center"/>
          </w:tcPr>
          <w:p w14:paraId="3034376A">
            <w:pPr>
              <w:widowControl/>
              <w:spacing w:line="0" w:lineRule="atLeast"/>
              <w:rPr>
                <w:color w:val="auto"/>
                <w:kern w:val="0"/>
                <w:sz w:val="22"/>
                <w:szCs w:val="22"/>
              </w:rPr>
            </w:pPr>
            <w:r>
              <w:rPr>
                <w:color w:val="auto"/>
                <w:kern w:val="0"/>
                <w:sz w:val="22"/>
                <w:szCs w:val="22"/>
              </w:rPr>
              <w:t>项目预算资金分配是否有测算依据，与补助单位或地方实际是否相适应，用以反映和考核项目预算资金分配的科学性、合理性情况。</w:t>
            </w:r>
          </w:p>
        </w:tc>
        <w:tc>
          <w:tcPr>
            <w:tcW w:w="2051" w:type="pct"/>
            <w:shd w:val="clear" w:color="auto" w:fill="FFFFFF"/>
            <w:vAlign w:val="center"/>
          </w:tcPr>
          <w:p w14:paraId="1894BBFC">
            <w:pPr>
              <w:widowControl/>
              <w:spacing w:line="0" w:lineRule="atLeast"/>
              <w:rPr>
                <w:color w:val="auto"/>
                <w:kern w:val="0"/>
                <w:sz w:val="22"/>
                <w:szCs w:val="22"/>
              </w:rPr>
            </w:pPr>
            <w:r>
              <w:rPr>
                <w:color w:val="auto"/>
                <w:kern w:val="0"/>
                <w:sz w:val="22"/>
                <w:szCs w:val="22"/>
              </w:rPr>
              <w:t>评价要点：</w:t>
            </w:r>
            <w:r>
              <w:rPr>
                <w:color w:val="auto"/>
                <w:kern w:val="0"/>
                <w:sz w:val="22"/>
                <w:szCs w:val="22"/>
              </w:rPr>
              <w:br w:type="textWrapping"/>
            </w:r>
            <w:r>
              <w:rPr>
                <w:color w:val="auto"/>
                <w:kern w:val="0"/>
                <w:sz w:val="22"/>
                <w:szCs w:val="22"/>
              </w:rPr>
              <w:t>①预算资金分配依据是否充分；</w:t>
            </w:r>
            <w:r>
              <w:rPr>
                <w:color w:val="auto"/>
                <w:kern w:val="0"/>
                <w:sz w:val="22"/>
                <w:szCs w:val="22"/>
              </w:rPr>
              <w:br w:type="textWrapping"/>
            </w:r>
            <w:r>
              <w:rPr>
                <w:color w:val="auto"/>
                <w:kern w:val="0"/>
                <w:sz w:val="22"/>
                <w:szCs w:val="22"/>
              </w:rPr>
              <w:t>②资金分配额度是否合理，与项目单位或地方实际是否相适应。</w:t>
            </w:r>
          </w:p>
        </w:tc>
        <w:tc>
          <w:tcPr>
            <w:tcW w:w="512" w:type="pct"/>
            <w:shd w:val="clear" w:color="auto" w:fill="FFFFFF"/>
            <w:vAlign w:val="center"/>
          </w:tcPr>
          <w:p w14:paraId="35F62A3C">
            <w:pPr>
              <w:widowControl/>
              <w:spacing w:line="0" w:lineRule="atLeast"/>
              <w:jc w:val="center"/>
              <w:rPr>
                <w:b/>
                <w:bCs/>
                <w:color w:val="auto"/>
                <w:kern w:val="0"/>
                <w:sz w:val="22"/>
                <w:szCs w:val="22"/>
              </w:rPr>
            </w:pPr>
            <w:r>
              <w:rPr>
                <w:b/>
                <w:bCs/>
                <w:color w:val="auto"/>
                <w:kern w:val="0"/>
                <w:sz w:val="22"/>
                <w:szCs w:val="22"/>
              </w:rPr>
              <w:t>4</w:t>
            </w:r>
          </w:p>
        </w:tc>
        <w:tc>
          <w:tcPr>
            <w:tcW w:w="536" w:type="pct"/>
            <w:shd w:val="clear" w:color="auto" w:fill="FFFFFF"/>
            <w:vAlign w:val="center"/>
          </w:tcPr>
          <w:p w14:paraId="76CECCB4">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5C455E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6" w:type="pct"/>
            <w:vMerge w:val="restart"/>
            <w:shd w:val="clear" w:color="auto" w:fill="FFFFFF"/>
            <w:vAlign w:val="center"/>
          </w:tcPr>
          <w:p w14:paraId="672CD2DD">
            <w:pPr>
              <w:spacing w:line="0" w:lineRule="atLeast"/>
              <w:jc w:val="center"/>
              <w:rPr>
                <w:color w:val="auto"/>
                <w:kern w:val="0"/>
                <w:sz w:val="22"/>
                <w:szCs w:val="22"/>
              </w:rPr>
            </w:pPr>
          </w:p>
          <w:p w14:paraId="2CF71CCF">
            <w:pPr>
              <w:spacing w:line="0" w:lineRule="atLeast"/>
              <w:jc w:val="center"/>
              <w:rPr>
                <w:color w:val="auto"/>
                <w:kern w:val="0"/>
                <w:sz w:val="22"/>
                <w:szCs w:val="22"/>
              </w:rPr>
            </w:pPr>
          </w:p>
          <w:p w14:paraId="2255ED29">
            <w:pPr>
              <w:spacing w:line="0" w:lineRule="atLeast"/>
              <w:jc w:val="center"/>
              <w:rPr>
                <w:color w:val="auto"/>
                <w:kern w:val="0"/>
                <w:sz w:val="22"/>
                <w:szCs w:val="22"/>
              </w:rPr>
            </w:pPr>
          </w:p>
          <w:p w14:paraId="0DA86D79">
            <w:pPr>
              <w:spacing w:line="0" w:lineRule="atLeast"/>
              <w:jc w:val="center"/>
              <w:rPr>
                <w:color w:val="auto"/>
                <w:kern w:val="0"/>
                <w:sz w:val="22"/>
                <w:szCs w:val="22"/>
              </w:rPr>
            </w:pPr>
          </w:p>
          <w:p w14:paraId="29962A3E">
            <w:pPr>
              <w:spacing w:line="0" w:lineRule="atLeast"/>
              <w:jc w:val="center"/>
              <w:rPr>
                <w:color w:val="auto"/>
                <w:kern w:val="0"/>
                <w:sz w:val="22"/>
                <w:szCs w:val="22"/>
              </w:rPr>
            </w:pPr>
          </w:p>
          <w:p w14:paraId="2DBA12E1">
            <w:pPr>
              <w:spacing w:line="0" w:lineRule="atLeast"/>
              <w:jc w:val="center"/>
              <w:rPr>
                <w:color w:val="auto"/>
                <w:kern w:val="0"/>
                <w:sz w:val="22"/>
                <w:szCs w:val="22"/>
              </w:rPr>
            </w:pPr>
          </w:p>
          <w:p w14:paraId="5F1CF9F5">
            <w:pPr>
              <w:spacing w:line="0" w:lineRule="atLeast"/>
              <w:jc w:val="center"/>
              <w:rPr>
                <w:color w:val="auto"/>
                <w:kern w:val="0"/>
                <w:sz w:val="22"/>
                <w:szCs w:val="22"/>
              </w:rPr>
            </w:pPr>
          </w:p>
          <w:p w14:paraId="716FB6CB">
            <w:pPr>
              <w:spacing w:line="0" w:lineRule="atLeast"/>
              <w:jc w:val="center"/>
              <w:rPr>
                <w:color w:val="auto"/>
                <w:kern w:val="0"/>
                <w:sz w:val="22"/>
                <w:szCs w:val="22"/>
              </w:rPr>
            </w:pPr>
          </w:p>
          <w:p w14:paraId="492BB73E">
            <w:pPr>
              <w:spacing w:line="0" w:lineRule="atLeast"/>
              <w:jc w:val="center"/>
              <w:rPr>
                <w:color w:val="auto"/>
                <w:kern w:val="0"/>
                <w:sz w:val="22"/>
                <w:szCs w:val="22"/>
              </w:rPr>
            </w:pPr>
          </w:p>
          <w:p w14:paraId="087DEF0E">
            <w:pPr>
              <w:spacing w:line="0" w:lineRule="atLeast"/>
              <w:jc w:val="center"/>
              <w:rPr>
                <w:color w:val="auto"/>
                <w:kern w:val="0"/>
                <w:sz w:val="22"/>
                <w:szCs w:val="22"/>
              </w:rPr>
            </w:pPr>
          </w:p>
          <w:p w14:paraId="20A7DB44">
            <w:pPr>
              <w:spacing w:line="0" w:lineRule="atLeast"/>
              <w:jc w:val="center"/>
              <w:rPr>
                <w:color w:val="auto"/>
                <w:kern w:val="0"/>
                <w:sz w:val="22"/>
                <w:szCs w:val="22"/>
              </w:rPr>
            </w:pPr>
          </w:p>
          <w:p w14:paraId="4B64E842">
            <w:pPr>
              <w:spacing w:line="0" w:lineRule="atLeast"/>
              <w:jc w:val="center"/>
              <w:rPr>
                <w:color w:val="auto"/>
                <w:kern w:val="0"/>
                <w:sz w:val="22"/>
                <w:szCs w:val="22"/>
              </w:rPr>
            </w:pPr>
          </w:p>
          <w:p w14:paraId="0BD5EF00">
            <w:pPr>
              <w:spacing w:line="0" w:lineRule="atLeast"/>
              <w:jc w:val="center"/>
              <w:rPr>
                <w:color w:val="auto"/>
                <w:kern w:val="0"/>
                <w:sz w:val="22"/>
                <w:szCs w:val="22"/>
              </w:rPr>
            </w:pPr>
          </w:p>
          <w:p w14:paraId="5A65AB33">
            <w:pPr>
              <w:spacing w:line="0" w:lineRule="atLeast"/>
              <w:jc w:val="center"/>
              <w:rPr>
                <w:color w:val="auto"/>
                <w:kern w:val="0"/>
                <w:sz w:val="22"/>
                <w:szCs w:val="22"/>
              </w:rPr>
            </w:pPr>
          </w:p>
          <w:p w14:paraId="695CF099">
            <w:pPr>
              <w:spacing w:line="0" w:lineRule="atLeast"/>
              <w:jc w:val="center"/>
              <w:rPr>
                <w:color w:val="auto"/>
                <w:kern w:val="0"/>
                <w:sz w:val="22"/>
                <w:szCs w:val="22"/>
              </w:rPr>
            </w:pPr>
          </w:p>
          <w:p w14:paraId="4DD6D410">
            <w:pPr>
              <w:spacing w:line="0" w:lineRule="atLeast"/>
              <w:jc w:val="center"/>
              <w:rPr>
                <w:color w:val="auto"/>
                <w:kern w:val="0"/>
                <w:sz w:val="22"/>
                <w:szCs w:val="22"/>
              </w:rPr>
            </w:pPr>
            <w:r>
              <w:rPr>
                <w:color w:val="auto"/>
                <w:kern w:val="0"/>
                <w:sz w:val="22"/>
                <w:szCs w:val="22"/>
              </w:rPr>
              <w:t>过程</w:t>
            </w:r>
          </w:p>
          <w:p w14:paraId="6B2400AC">
            <w:pPr>
              <w:widowControl/>
              <w:spacing w:line="0" w:lineRule="atLeast"/>
              <w:jc w:val="center"/>
              <w:rPr>
                <w:color w:val="auto"/>
                <w:kern w:val="0"/>
                <w:sz w:val="22"/>
                <w:szCs w:val="22"/>
              </w:rPr>
            </w:pPr>
            <w:r>
              <w:rPr>
                <w:color w:val="auto"/>
                <w:kern w:val="0"/>
                <w:sz w:val="22"/>
                <w:szCs w:val="22"/>
              </w:rPr>
              <w:t>　　</w:t>
            </w:r>
          </w:p>
        </w:tc>
        <w:tc>
          <w:tcPr>
            <w:tcW w:w="301" w:type="pct"/>
            <w:vMerge w:val="restart"/>
            <w:shd w:val="clear" w:color="auto" w:fill="FFFFFF"/>
            <w:vAlign w:val="center"/>
          </w:tcPr>
          <w:p w14:paraId="4B3D16DB">
            <w:pPr>
              <w:widowControl/>
              <w:spacing w:line="0" w:lineRule="atLeast"/>
              <w:jc w:val="center"/>
              <w:rPr>
                <w:color w:val="auto"/>
                <w:kern w:val="0"/>
                <w:sz w:val="22"/>
                <w:szCs w:val="22"/>
              </w:rPr>
            </w:pPr>
            <w:r>
              <w:rPr>
                <w:color w:val="auto"/>
                <w:kern w:val="0"/>
                <w:sz w:val="22"/>
                <w:szCs w:val="22"/>
              </w:rPr>
              <w:t>资金管理</w:t>
            </w:r>
          </w:p>
        </w:tc>
        <w:tc>
          <w:tcPr>
            <w:tcW w:w="344" w:type="pct"/>
            <w:shd w:val="clear" w:color="auto" w:fill="FFFFFF"/>
            <w:vAlign w:val="center"/>
          </w:tcPr>
          <w:p w14:paraId="38B9B13D">
            <w:pPr>
              <w:widowControl/>
              <w:spacing w:line="0" w:lineRule="atLeast"/>
              <w:jc w:val="center"/>
              <w:rPr>
                <w:color w:val="auto"/>
                <w:kern w:val="0"/>
                <w:sz w:val="22"/>
                <w:szCs w:val="22"/>
              </w:rPr>
            </w:pPr>
            <w:r>
              <w:rPr>
                <w:color w:val="auto"/>
                <w:kern w:val="0"/>
                <w:sz w:val="22"/>
                <w:szCs w:val="22"/>
              </w:rPr>
              <w:t>资金到位率</w:t>
            </w:r>
          </w:p>
        </w:tc>
        <w:tc>
          <w:tcPr>
            <w:tcW w:w="927" w:type="pct"/>
            <w:shd w:val="clear" w:color="000000" w:fill="FFFFFF"/>
            <w:vAlign w:val="center"/>
          </w:tcPr>
          <w:p w14:paraId="12681508">
            <w:pPr>
              <w:widowControl/>
              <w:spacing w:line="0" w:lineRule="atLeast"/>
              <w:rPr>
                <w:color w:val="auto"/>
                <w:kern w:val="0"/>
                <w:sz w:val="22"/>
                <w:szCs w:val="22"/>
              </w:rPr>
            </w:pPr>
            <w:r>
              <w:rPr>
                <w:color w:val="auto"/>
                <w:kern w:val="0"/>
                <w:sz w:val="22"/>
                <w:szCs w:val="22"/>
              </w:rPr>
              <w:t>实际到位资金与预算资金的比率，用以反映和考核资金落实情况对项目实施的总体保障程度。</w:t>
            </w:r>
          </w:p>
        </w:tc>
        <w:tc>
          <w:tcPr>
            <w:tcW w:w="2051" w:type="pct"/>
            <w:shd w:val="clear" w:color="000000" w:fill="FFFFFF"/>
            <w:vAlign w:val="center"/>
          </w:tcPr>
          <w:p w14:paraId="6AD0522D">
            <w:pPr>
              <w:widowControl/>
              <w:spacing w:line="0" w:lineRule="atLeast"/>
              <w:rPr>
                <w:color w:val="auto"/>
                <w:kern w:val="0"/>
                <w:sz w:val="22"/>
                <w:szCs w:val="22"/>
              </w:rPr>
            </w:pPr>
            <w:r>
              <w:rPr>
                <w:color w:val="auto"/>
                <w:kern w:val="0"/>
                <w:sz w:val="22"/>
                <w:szCs w:val="22"/>
              </w:rPr>
              <w:t>资金到位率=（实际到位资金/预算资金）×100%。</w:t>
            </w:r>
          </w:p>
          <w:p w14:paraId="0E502E36">
            <w:pPr>
              <w:widowControl/>
              <w:spacing w:line="0" w:lineRule="atLeast"/>
              <w:rPr>
                <w:color w:val="auto"/>
                <w:kern w:val="0"/>
                <w:sz w:val="22"/>
                <w:szCs w:val="22"/>
              </w:rPr>
            </w:pPr>
            <w:r>
              <w:rPr>
                <w:color w:val="auto"/>
                <w:kern w:val="0"/>
                <w:sz w:val="22"/>
                <w:szCs w:val="22"/>
              </w:rPr>
              <w:t>实际到位资金：一定时期（本年度或项目期）内落实到具体项目的资金。</w:t>
            </w:r>
          </w:p>
          <w:p w14:paraId="44C92051">
            <w:pPr>
              <w:widowControl/>
              <w:spacing w:line="0" w:lineRule="atLeast"/>
              <w:rPr>
                <w:color w:val="auto"/>
                <w:kern w:val="0"/>
                <w:sz w:val="22"/>
                <w:szCs w:val="22"/>
              </w:rPr>
            </w:pPr>
            <w:r>
              <w:rPr>
                <w:color w:val="auto"/>
                <w:kern w:val="0"/>
                <w:sz w:val="22"/>
                <w:szCs w:val="22"/>
              </w:rPr>
              <w:t>预算资金：一定时期（本年度或项目期）内预算安排到具体项目的资金。</w:t>
            </w:r>
          </w:p>
        </w:tc>
        <w:tc>
          <w:tcPr>
            <w:tcW w:w="512" w:type="pct"/>
            <w:shd w:val="clear" w:color="000000" w:fill="FFFFFF"/>
            <w:vAlign w:val="center"/>
          </w:tcPr>
          <w:p w14:paraId="275277B7">
            <w:pPr>
              <w:widowControl/>
              <w:spacing w:line="0" w:lineRule="atLeast"/>
              <w:jc w:val="center"/>
              <w:rPr>
                <w:b/>
                <w:bCs/>
                <w:color w:val="auto"/>
                <w:kern w:val="0"/>
                <w:sz w:val="22"/>
                <w:szCs w:val="22"/>
              </w:rPr>
            </w:pPr>
            <w:r>
              <w:rPr>
                <w:b/>
                <w:bCs/>
                <w:color w:val="auto"/>
                <w:kern w:val="0"/>
                <w:sz w:val="22"/>
                <w:szCs w:val="22"/>
              </w:rPr>
              <w:t>4</w:t>
            </w:r>
          </w:p>
        </w:tc>
        <w:tc>
          <w:tcPr>
            <w:tcW w:w="536" w:type="pct"/>
            <w:shd w:val="clear" w:color="000000" w:fill="FFFFFF"/>
            <w:vAlign w:val="center"/>
          </w:tcPr>
          <w:p w14:paraId="125EE056">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4A768E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6" w:type="pct"/>
            <w:vMerge w:val="continue"/>
            <w:shd w:val="clear" w:color="auto" w:fill="FFFFFF"/>
            <w:vAlign w:val="center"/>
          </w:tcPr>
          <w:p w14:paraId="55D526A5">
            <w:pPr>
              <w:spacing w:line="0" w:lineRule="atLeast"/>
              <w:jc w:val="center"/>
              <w:rPr>
                <w:color w:val="auto"/>
                <w:kern w:val="0"/>
                <w:sz w:val="22"/>
                <w:szCs w:val="22"/>
              </w:rPr>
            </w:pPr>
          </w:p>
        </w:tc>
        <w:tc>
          <w:tcPr>
            <w:tcW w:w="301" w:type="pct"/>
            <w:vMerge w:val="continue"/>
            <w:shd w:val="clear" w:color="auto" w:fill="FFFFFF"/>
            <w:vAlign w:val="center"/>
          </w:tcPr>
          <w:p w14:paraId="261D63C8">
            <w:pPr>
              <w:spacing w:line="0" w:lineRule="atLeast"/>
              <w:jc w:val="center"/>
              <w:rPr>
                <w:color w:val="auto"/>
                <w:kern w:val="0"/>
                <w:sz w:val="22"/>
                <w:szCs w:val="22"/>
              </w:rPr>
            </w:pPr>
          </w:p>
        </w:tc>
        <w:tc>
          <w:tcPr>
            <w:tcW w:w="344" w:type="pct"/>
            <w:shd w:val="clear" w:color="auto" w:fill="FFFFFF"/>
            <w:vAlign w:val="center"/>
          </w:tcPr>
          <w:p w14:paraId="39A98BBA">
            <w:pPr>
              <w:widowControl/>
              <w:spacing w:line="0" w:lineRule="atLeast"/>
              <w:jc w:val="center"/>
              <w:rPr>
                <w:color w:val="auto"/>
                <w:kern w:val="0"/>
                <w:sz w:val="22"/>
                <w:szCs w:val="22"/>
              </w:rPr>
            </w:pPr>
            <w:r>
              <w:rPr>
                <w:color w:val="auto"/>
                <w:kern w:val="0"/>
                <w:sz w:val="22"/>
                <w:szCs w:val="22"/>
              </w:rPr>
              <w:t>预算执行率</w:t>
            </w:r>
          </w:p>
        </w:tc>
        <w:tc>
          <w:tcPr>
            <w:tcW w:w="927" w:type="pct"/>
            <w:shd w:val="clear" w:color="auto" w:fill="FFFFFF"/>
            <w:vAlign w:val="center"/>
          </w:tcPr>
          <w:p w14:paraId="1B2B3FD9">
            <w:pPr>
              <w:widowControl/>
              <w:spacing w:line="0" w:lineRule="atLeast"/>
              <w:rPr>
                <w:color w:val="auto"/>
                <w:kern w:val="0"/>
                <w:sz w:val="22"/>
                <w:szCs w:val="22"/>
              </w:rPr>
            </w:pPr>
            <w:r>
              <w:rPr>
                <w:color w:val="auto"/>
                <w:kern w:val="0"/>
                <w:sz w:val="22"/>
                <w:szCs w:val="22"/>
              </w:rPr>
              <w:t>项目预算资金是否按照计划执行，用以反映或考核项目预算执行情况。</w:t>
            </w:r>
          </w:p>
        </w:tc>
        <w:tc>
          <w:tcPr>
            <w:tcW w:w="2051" w:type="pct"/>
            <w:shd w:val="clear" w:color="auto" w:fill="FFFFFF"/>
            <w:vAlign w:val="center"/>
          </w:tcPr>
          <w:p w14:paraId="70B132C7">
            <w:pPr>
              <w:widowControl/>
              <w:spacing w:line="0" w:lineRule="atLeast"/>
              <w:rPr>
                <w:color w:val="auto"/>
                <w:kern w:val="0"/>
                <w:sz w:val="22"/>
                <w:szCs w:val="22"/>
              </w:rPr>
            </w:pPr>
            <w:r>
              <w:rPr>
                <w:color w:val="auto"/>
                <w:kern w:val="0"/>
                <w:sz w:val="22"/>
                <w:szCs w:val="22"/>
              </w:rPr>
              <w:t>预算执行率=（实际支出资金/实际到位资金）×100%。</w:t>
            </w:r>
            <w:r>
              <w:rPr>
                <w:color w:val="auto"/>
                <w:kern w:val="0"/>
                <w:sz w:val="22"/>
                <w:szCs w:val="22"/>
              </w:rPr>
              <w:br w:type="textWrapping"/>
            </w:r>
            <w:r>
              <w:rPr>
                <w:color w:val="auto"/>
                <w:kern w:val="0"/>
                <w:sz w:val="22"/>
                <w:szCs w:val="22"/>
              </w:rPr>
              <w:t>实际支出资金：一定时期（本年度或项目期）内项目实际拨付的资金。</w:t>
            </w:r>
          </w:p>
        </w:tc>
        <w:tc>
          <w:tcPr>
            <w:tcW w:w="512" w:type="pct"/>
            <w:shd w:val="clear" w:color="auto" w:fill="FFFFFF"/>
            <w:vAlign w:val="center"/>
          </w:tcPr>
          <w:p w14:paraId="0B8F9E73">
            <w:pPr>
              <w:widowControl/>
              <w:spacing w:line="0" w:lineRule="atLeast"/>
              <w:jc w:val="center"/>
              <w:rPr>
                <w:b/>
                <w:bCs/>
                <w:color w:val="auto"/>
                <w:kern w:val="0"/>
                <w:sz w:val="22"/>
                <w:szCs w:val="22"/>
              </w:rPr>
            </w:pPr>
            <w:r>
              <w:rPr>
                <w:b/>
                <w:bCs/>
                <w:color w:val="auto"/>
                <w:kern w:val="0"/>
                <w:sz w:val="22"/>
                <w:szCs w:val="22"/>
              </w:rPr>
              <w:t>4</w:t>
            </w:r>
          </w:p>
        </w:tc>
        <w:tc>
          <w:tcPr>
            <w:tcW w:w="536" w:type="pct"/>
            <w:shd w:val="clear" w:color="auto" w:fill="FFFFFF"/>
            <w:vAlign w:val="center"/>
          </w:tcPr>
          <w:p w14:paraId="4FA2D23B">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35B205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6" w:type="pct"/>
            <w:vMerge w:val="continue"/>
            <w:shd w:val="clear" w:color="auto" w:fill="FFFFFF"/>
            <w:vAlign w:val="center"/>
          </w:tcPr>
          <w:p w14:paraId="3CB4C5EB">
            <w:pPr>
              <w:spacing w:line="0" w:lineRule="atLeast"/>
              <w:jc w:val="center"/>
              <w:rPr>
                <w:color w:val="auto"/>
                <w:kern w:val="0"/>
                <w:sz w:val="22"/>
                <w:szCs w:val="22"/>
              </w:rPr>
            </w:pPr>
          </w:p>
        </w:tc>
        <w:tc>
          <w:tcPr>
            <w:tcW w:w="301" w:type="pct"/>
            <w:shd w:val="clear" w:color="auto" w:fill="FFFFFF"/>
            <w:vAlign w:val="center"/>
          </w:tcPr>
          <w:p w14:paraId="4500625F">
            <w:pPr>
              <w:widowControl/>
              <w:spacing w:line="0" w:lineRule="atLeast"/>
              <w:jc w:val="center"/>
              <w:rPr>
                <w:color w:val="auto"/>
                <w:kern w:val="0"/>
                <w:sz w:val="22"/>
                <w:szCs w:val="22"/>
              </w:rPr>
            </w:pPr>
            <w:r>
              <w:rPr>
                <w:color w:val="auto"/>
                <w:kern w:val="0"/>
                <w:sz w:val="22"/>
                <w:szCs w:val="22"/>
              </w:rPr>
              <w:t>资金管理</w:t>
            </w:r>
          </w:p>
        </w:tc>
        <w:tc>
          <w:tcPr>
            <w:tcW w:w="344" w:type="pct"/>
            <w:shd w:val="clear" w:color="auto" w:fill="FFFFFF"/>
            <w:vAlign w:val="center"/>
          </w:tcPr>
          <w:p w14:paraId="3D7AFE61">
            <w:pPr>
              <w:widowControl/>
              <w:spacing w:line="0" w:lineRule="atLeast"/>
              <w:jc w:val="center"/>
              <w:rPr>
                <w:color w:val="auto"/>
                <w:kern w:val="0"/>
                <w:sz w:val="22"/>
                <w:szCs w:val="22"/>
              </w:rPr>
            </w:pPr>
            <w:r>
              <w:rPr>
                <w:color w:val="auto"/>
                <w:kern w:val="0"/>
                <w:sz w:val="22"/>
                <w:szCs w:val="22"/>
              </w:rPr>
              <w:t>资金使用</w:t>
            </w:r>
          </w:p>
          <w:p w14:paraId="2DA0A404">
            <w:pPr>
              <w:widowControl/>
              <w:spacing w:line="0" w:lineRule="atLeast"/>
              <w:jc w:val="center"/>
              <w:rPr>
                <w:color w:val="auto"/>
                <w:kern w:val="0"/>
                <w:sz w:val="22"/>
                <w:szCs w:val="22"/>
              </w:rPr>
            </w:pPr>
            <w:r>
              <w:rPr>
                <w:color w:val="auto"/>
                <w:kern w:val="0"/>
                <w:sz w:val="22"/>
                <w:szCs w:val="22"/>
              </w:rPr>
              <w:t>合规性</w:t>
            </w:r>
          </w:p>
        </w:tc>
        <w:tc>
          <w:tcPr>
            <w:tcW w:w="927" w:type="pct"/>
            <w:shd w:val="clear" w:color="000000" w:fill="FFFFFF"/>
            <w:vAlign w:val="center"/>
          </w:tcPr>
          <w:p w14:paraId="5EF08FDF">
            <w:pPr>
              <w:widowControl/>
              <w:spacing w:line="0" w:lineRule="atLeast"/>
              <w:rPr>
                <w:color w:val="auto"/>
                <w:kern w:val="0"/>
                <w:sz w:val="22"/>
                <w:szCs w:val="22"/>
              </w:rPr>
            </w:pPr>
            <w:r>
              <w:rPr>
                <w:color w:val="auto"/>
                <w:kern w:val="0"/>
                <w:sz w:val="22"/>
                <w:szCs w:val="22"/>
              </w:rPr>
              <w:t>项目资金使用是否符合相关的财务管理制度规定，用以反映和考核项目资金的规范运行情况。</w:t>
            </w:r>
          </w:p>
        </w:tc>
        <w:tc>
          <w:tcPr>
            <w:tcW w:w="2051" w:type="pct"/>
            <w:shd w:val="clear" w:color="000000" w:fill="FFFFFF"/>
            <w:vAlign w:val="center"/>
          </w:tcPr>
          <w:p w14:paraId="67BEC11A">
            <w:pPr>
              <w:widowControl/>
              <w:spacing w:line="0" w:lineRule="atLeast"/>
              <w:rPr>
                <w:color w:val="auto"/>
                <w:kern w:val="0"/>
                <w:sz w:val="22"/>
                <w:szCs w:val="22"/>
              </w:rPr>
            </w:pPr>
            <w:r>
              <w:rPr>
                <w:color w:val="auto"/>
                <w:kern w:val="0"/>
                <w:sz w:val="22"/>
                <w:szCs w:val="22"/>
              </w:rPr>
              <w:t>评价要点：</w:t>
            </w:r>
            <w:r>
              <w:rPr>
                <w:color w:val="auto"/>
                <w:kern w:val="0"/>
                <w:sz w:val="22"/>
                <w:szCs w:val="22"/>
              </w:rPr>
              <w:br w:type="textWrapping"/>
            </w:r>
            <w:r>
              <w:rPr>
                <w:color w:val="auto"/>
                <w:kern w:val="0"/>
                <w:sz w:val="22"/>
                <w:szCs w:val="22"/>
              </w:rPr>
              <w:t>①是否符合国家财经法规和财务管理制度以及有关专项资金管理办法的规定；</w:t>
            </w:r>
            <w:r>
              <w:rPr>
                <w:color w:val="auto"/>
                <w:kern w:val="0"/>
                <w:sz w:val="22"/>
                <w:szCs w:val="22"/>
              </w:rPr>
              <w:br w:type="textWrapping"/>
            </w:r>
            <w:r>
              <w:rPr>
                <w:color w:val="auto"/>
                <w:kern w:val="0"/>
                <w:sz w:val="22"/>
                <w:szCs w:val="22"/>
              </w:rPr>
              <w:t>②资金的拨付是否有完整的审批程序和手续；</w:t>
            </w:r>
            <w:r>
              <w:rPr>
                <w:color w:val="auto"/>
                <w:kern w:val="0"/>
                <w:sz w:val="22"/>
                <w:szCs w:val="22"/>
              </w:rPr>
              <w:br w:type="textWrapping"/>
            </w:r>
            <w:r>
              <w:rPr>
                <w:color w:val="auto"/>
                <w:kern w:val="0"/>
                <w:sz w:val="22"/>
                <w:szCs w:val="22"/>
              </w:rPr>
              <w:t>③是否符合项目预算批复或合同规定的用途；</w:t>
            </w:r>
            <w:r>
              <w:rPr>
                <w:color w:val="auto"/>
                <w:kern w:val="0"/>
                <w:sz w:val="22"/>
                <w:szCs w:val="22"/>
              </w:rPr>
              <w:br w:type="textWrapping"/>
            </w:r>
            <w:r>
              <w:rPr>
                <w:color w:val="auto"/>
                <w:kern w:val="0"/>
                <w:sz w:val="22"/>
                <w:szCs w:val="22"/>
              </w:rPr>
              <w:t>④是否存在截留、挤占、挪用、虚列支出等情况。</w:t>
            </w:r>
          </w:p>
        </w:tc>
        <w:tc>
          <w:tcPr>
            <w:tcW w:w="512" w:type="pct"/>
            <w:shd w:val="clear" w:color="000000" w:fill="FFFFFF"/>
            <w:vAlign w:val="center"/>
          </w:tcPr>
          <w:p w14:paraId="13A52542">
            <w:pPr>
              <w:widowControl/>
              <w:spacing w:line="0" w:lineRule="atLeast"/>
              <w:jc w:val="center"/>
              <w:rPr>
                <w:b/>
                <w:bCs/>
                <w:color w:val="auto"/>
                <w:kern w:val="0"/>
                <w:sz w:val="22"/>
                <w:szCs w:val="22"/>
              </w:rPr>
            </w:pPr>
            <w:r>
              <w:rPr>
                <w:b/>
                <w:bCs/>
                <w:color w:val="auto"/>
                <w:kern w:val="0"/>
                <w:sz w:val="22"/>
                <w:szCs w:val="22"/>
              </w:rPr>
              <w:t>4</w:t>
            </w:r>
          </w:p>
        </w:tc>
        <w:tc>
          <w:tcPr>
            <w:tcW w:w="536" w:type="pct"/>
            <w:shd w:val="clear" w:color="000000" w:fill="FFFFFF"/>
            <w:vAlign w:val="center"/>
          </w:tcPr>
          <w:p w14:paraId="6EDE7A03">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22DEF7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6" w:type="pct"/>
            <w:vMerge w:val="continue"/>
            <w:shd w:val="clear" w:color="auto" w:fill="FFFFFF"/>
            <w:vAlign w:val="center"/>
          </w:tcPr>
          <w:p w14:paraId="2B1C6DF4">
            <w:pPr>
              <w:spacing w:line="0" w:lineRule="atLeast"/>
              <w:jc w:val="center"/>
              <w:rPr>
                <w:color w:val="auto"/>
                <w:kern w:val="0"/>
                <w:sz w:val="22"/>
                <w:szCs w:val="22"/>
              </w:rPr>
            </w:pPr>
          </w:p>
        </w:tc>
        <w:tc>
          <w:tcPr>
            <w:tcW w:w="301" w:type="pct"/>
            <w:vMerge w:val="restart"/>
            <w:shd w:val="clear" w:color="auto" w:fill="FFFFFF"/>
            <w:vAlign w:val="center"/>
          </w:tcPr>
          <w:p w14:paraId="6CE1A0E8">
            <w:pPr>
              <w:widowControl/>
              <w:spacing w:line="0" w:lineRule="atLeast"/>
              <w:jc w:val="center"/>
              <w:rPr>
                <w:color w:val="auto"/>
                <w:kern w:val="0"/>
                <w:sz w:val="22"/>
                <w:szCs w:val="22"/>
              </w:rPr>
            </w:pPr>
            <w:r>
              <w:rPr>
                <w:color w:val="auto"/>
                <w:kern w:val="0"/>
                <w:sz w:val="22"/>
                <w:szCs w:val="22"/>
              </w:rPr>
              <w:t>组织实施</w:t>
            </w:r>
          </w:p>
          <w:p w14:paraId="6733A699">
            <w:pPr>
              <w:spacing w:line="0" w:lineRule="atLeast"/>
              <w:jc w:val="center"/>
              <w:rPr>
                <w:color w:val="auto"/>
                <w:kern w:val="0"/>
                <w:sz w:val="22"/>
                <w:szCs w:val="22"/>
              </w:rPr>
            </w:pPr>
            <w:r>
              <w:rPr>
                <w:color w:val="auto"/>
                <w:kern w:val="0"/>
                <w:sz w:val="22"/>
                <w:szCs w:val="22"/>
              </w:rPr>
              <w:t>　</w:t>
            </w:r>
          </w:p>
        </w:tc>
        <w:tc>
          <w:tcPr>
            <w:tcW w:w="344" w:type="pct"/>
            <w:shd w:val="clear" w:color="auto" w:fill="FFFFFF"/>
            <w:vAlign w:val="center"/>
          </w:tcPr>
          <w:p w14:paraId="64ED25D4">
            <w:pPr>
              <w:widowControl/>
              <w:spacing w:line="0" w:lineRule="atLeast"/>
              <w:jc w:val="center"/>
              <w:rPr>
                <w:color w:val="auto"/>
                <w:kern w:val="0"/>
                <w:sz w:val="22"/>
                <w:szCs w:val="22"/>
              </w:rPr>
            </w:pPr>
            <w:r>
              <w:rPr>
                <w:color w:val="auto"/>
                <w:kern w:val="0"/>
                <w:sz w:val="22"/>
                <w:szCs w:val="22"/>
              </w:rPr>
              <w:t>管理制度</w:t>
            </w:r>
          </w:p>
          <w:p w14:paraId="656014A3">
            <w:pPr>
              <w:widowControl/>
              <w:spacing w:line="0" w:lineRule="atLeast"/>
              <w:jc w:val="center"/>
              <w:rPr>
                <w:color w:val="auto"/>
                <w:kern w:val="0"/>
                <w:sz w:val="22"/>
                <w:szCs w:val="22"/>
              </w:rPr>
            </w:pPr>
            <w:r>
              <w:rPr>
                <w:color w:val="auto"/>
                <w:kern w:val="0"/>
                <w:sz w:val="22"/>
                <w:szCs w:val="22"/>
              </w:rPr>
              <w:t>健全性</w:t>
            </w:r>
          </w:p>
        </w:tc>
        <w:tc>
          <w:tcPr>
            <w:tcW w:w="927" w:type="pct"/>
            <w:shd w:val="clear" w:color="000000" w:fill="FFFFFF"/>
            <w:vAlign w:val="center"/>
          </w:tcPr>
          <w:p w14:paraId="49D2A629">
            <w:pPr>
              <w:widowControl/>
              <w:spacing w:line="0" w:lineRule="atLeast"/>
              <w:rPr>
                <w:color w:val="auto"/>
                <w:kern w:val="0"/>
                <w:sz w:val="22"/>
                <w:szCs w:val="22"/>
              </w:rPr>
            </w:pPr>
            <w:r>
              <w:rPr>
                <w:color w:val="auto"/>
                <w:kern w:val="0"/>
                <w:sz w:val="22"/>
                <w:szCs w:val="22"/>
              </w:rPr>
              <w:t>项目实施单位的财务和业务管理制度是否健全，用以反映和考核财务和业务管理制度对项目顺利实施的保障情况。</w:t>
            </w:r>
          </w:p>
        </w:tc>
        <w:tc>
          <w:tcPr>
            <w:tcW w:w="2051" w:type="pct"/>
            <w:shd w:val="clear" w:color="000000" w:fill="FFFFFF"/>
            <w:vAlign w:val="center"/>
          </w:tcPr>
          <w:p w14:paraId="102FE06E">
            <w:pPr>
              <w:widowControl/>
              <w:spacing w:line="0" w:lineRule="atLeast"/>
              <w:rPr>
                <w:color w:val="auto"/>
                <w:kern w:val="0"/>
                <w:sz w:val="22"/>
                <w:szCs w:val="22"/>
              </w:rPr>
            </w:pPr>
            <w:r>
              <w:rPr>
                <w:color w:val="auto"/>
                <w:kern w:val="0"/>
                <w:sz w:val="22"/>
                <w:szCs w:val="22"/>
              </w:rPr>
              <w:t>评价要点：</w:t>
            </w:r>
            <w:r>
              <w:rPr>
                <w:color w:val="auto"/>
                <w:kern w:val="0"/>
                <w:sz w:val="22"/>
                <w:szCs w:val="22"/>
              </w:rPr>
              <w:br w:type="textWrapping"/>
            </w:r>
            <w:r>
              <w:rPr>
                <w:color w:val="auto"/>
                <w:kern w:val="0"/>
                <w:sz w:val="22"/>
                <w:szCs w:val="22"/>
              </w:rPr>
              <w:t>①是否已制定或具有相应的财务和业务管理制度；</w:t>
            </w:r>
            <w:r>
              <w:rPr>
                <w:color w:val="auto"/>
                <w:kern w:val="0"/>
                <w:sz w:val="22"/>
                <w:szCs w:val="22"/>
              </w:rPr>
              <w:br w:type="textWrapping"/>
            </w:r>
            <w:r>
              <w:rPr>
                <w:color w:val="auto"/>
                <w:kern w:val="0"/>
                <w:sz w:val="22"/>
                <w:szCs w:val="22"/>
              </w:rPr>
              <w:t>②财务和业务管理制度是否合法、合规、完整。</w:t>
            </w:r>
          </w:p>
        </w:tc>
        <w:tc>
          <w:tcPr>
            <w:tcW w:w="512" w:type="pct"/>
            <w:shd w:val="clear" w:color="000000" w:fill="FFFFFF"/>
            <w:vAlign w:val="center"/>
          </w:tcPr>
          <w:p w14:paraId="4317EDDC">
            <w:pPr>
              <w:widowControl/>
              <w:spacing w:line="0" w:lineRule="atLeast"/>
              <w:jc w:val="center"/>
              <w:rPr>
                <w:b/>
                <w:bCs/>
                <w:color w:val="auto"/>
                <w:kern w:val="0"/>
                <w:sz w:val="22"/>
                <w:szCs w:val="22"/>
              </w:rPr>
            </w:pPr>
            <w:r>
              <w:rPr>
                <w:b/>
                <w:bCs/>
                <w:color w:val="auto"/>
                <w:kern w:val="0"/>
                <w:sz w:val="22"/>
                <w:szCs w:val="22"/>
              </w:rPr>
              <w:t>4</w:t>
            </w:r>
          </w:p>
        </w:tc>
        <w:tc>
          <w:tcPr>
            <w:tcW w:w="536" w:type="pct"/>
            <w:shd w:val="clear" w:color="000000" w:fill="FFFFFF"/>
            <w:vAlign w:val="center"/>
          </w:tcPr>
          <w:p w14:paraId="2441C28F">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6CB4C2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6" w:type="pct"/>
            <w:vMerge w:val="continue"/>
            <w:shd w:val="clear" w:color="auto" w:fill="FFFFFF"/>
            <w:vAlign w:val="center"/>
          </w:tcPr>
          <w:p w14:paraId="532B18A3">
            <w:pPr>
              <w:widowControl/>
              <w:spacing w:line="0" w:lineRule="atLeast"/>
              <w:jc w:val="center"/>
              <w:rPr>
                <w:color w:val="auto"/>
                <w:kern w:val="0"/>
                <w:sz w:val="22"/>
                <w:szCs w:val="22"/>
              </w:rPr>
            </w:pPr>
          </w:p>
        </w:tc>
        <w:tc>
          <w:tcPr>
            <w:tcW w:w="301" w:type="pct"/>
            <w:vMerge w:val="continue"/>
            <w:shd w:val="clear" w:color="auto" w:fill="FFFFFF"/>
            <w:vAlign w:val="center"/>
          </w:tcPr>
          <w:p w14:paraId="3D4F14BB">
            <w:pPr>
              <w:widowControl/>
              <w:spacing w:line="0" w:lineRule="atLeast"/>
              <w:jc w:val="center"/>
              <w:rPr>
                <w:color w:val="auto"/>
                <w:kern w:val="0"/>
                <w:sz w:val="22"/>
                <w:szCs w:val="22"/>
              </w:rPr>
            </w:pPr>
          </w:p>
        </w:tc>
        <w:tc>
          <w:tcPr>
            <w:tcW w:w="344" w:type="pct"/>
            <w:shd w:val="clear" w:color="auto" w:fill="FFFFFF"/>
            <w:vAlign w:val="center"/>
          </w:tcPr>
          <w:p w14:paraId="165F4B21">
            <w:pPr>
              <w:widowControl/>
              <w:spacing w:line="0" w:lineRule="atLeast"/>
              <w:jc w:val="center"/>
              <w:rPr>
                <w:color w:val="auto"/>
                <w:kern w:val="0"/>
                <w:sz w:val="22"/>
                <w:szCs w:val="22"/>
              </w:rPr>
            </w:pPr>
            <w:r>
              <w:rPr>
                <w:color w:val="auto"/>
                <w:kern w:val="0"/>
                <w:sz w:val="22"/>
                <w:szCs w:val="22"/>
              </w:rPr>
              <w:t>制度执行</w:t>
            </w:r>
          </w:p>
          <w:p w14:paraId="5F96A0E7">
            <w:pPr>
              <w:widowControl/>
              <w:spacing w:line="0" w:lineRule="atLeast"/>
              <w:jc w:val="center"/>
              <w:rPr>
                <w:color w:val="auto"/>
                <w:kern w:val="0"/>
                <w:sz w:val="22"/>
                <w:szCs w:val="22"/>
              </w:rPr>
            </w:pPr>
            <w:r>
              <w:rPr>
                <w:color w:val="auto"/>
                <w:kern w:val="0"/>
                <w:sz w:val="22"/>
                <w:szCs w:val="22"/>
              </w:rPr>
              <w:t>有效性</w:t>
            </w:r>
          </w:p>
        </w:tc>
        <w:tc>
          <w:tcPr>
            <w:tcW w:w="927" w:type="pct"/>
            <w:shd w:val="clear" w:color="000000" w:fill="FFFFFF"/>
            <w:vAlign w:val="center"/>
          </w:tcPr>
          <w:p w14:paraId="36FDC80F">
            <w:pPr>
              <w:widowControl/>
              <w:spacing w:line="0" w:lineRule="atLeast"/>
              <w:rPr>
                <w:color w:val="auto"/>
                <w:kern w:val="0"/>
                <w:sz w:val="22"/>
                <w:szCs w:val="22"/>
              </w:rPr>
            </w:pPr>
            <w:r>
              <w:rPr>
                <w:color w:val="auto"/>
                <w:kern w:val="0"/>
                <w:sz w:val="22"/>
                <w:szCs w:val="22"/>
              </w:rPr>
              <w:t>项目实施是否符合相关管理规定，用以反映和考核相关管理制度的有效执行情况。</w:t>
            </w:r>
          </w:p>
        </w:tc>
        <w:tc>
          <w:tcPr>
            <w:tcW w:w="2051" w:type="pct"/>
            <w:shd w:val="clear" w:color="000000" w:fill="FFFFFF"/>
            <w:vAlign w:val="center"/>
          </w:tcPr>
          <w:p w14:paraId="02779068">
            <w:pPr>
              <w:widowControl/>
              <w:spacing w:line="0" w:lineRule="atLeast"/>
              <w:rPr>
                <w:color w:val="auto"/>
                <w:kern w:val="0"/>
                <w:sz w:val="22"/>
                <w:szCs w:val="22"/>
              </w:rPr>
            </w:pPr>
            <w:r>
              <w:rPr>
                <w:color w:val="auto"/>
                <w:kern w:val="0"/>
                <w:sz w:val="22"/>
                <w:szCs w:val="22"/>
              </w:rPr>
              <w:t>评价要点：</w:t>
            </w:r>
            <w:r>
              <w:rPr>
                <w:color w:val="auto"/>
                <w:kern w:val="0"/>
                <w:sz w:val="22"/>
                <w:szCs w:val="22"/>
              </w:rPr>
              <w:br w:type="textWrapping"/>
            </w:r>
            <w:r>
              <w:rPr>
                <w:color w:val="auto"/>
                <w:kern w:val="0"/>
                <w:sz w:val="22"/>
                <w:szCs w:val="22"/>
              </w:rPr>
              <w:t>①是否遵守相关法律法规和相关管理规定；</w:t>
            </w:r>
            <w:r>
              <w:rPr>
                <w:color w:val="auto"/>
                <w:kern w:val="0"/>
                <w:sz w:val="22"/>
                <w:szCs w:val="22"/>
              </w:rPr>
              <w:br w:type="textWrapping"/>
            </w:r>
            <w:r>
              <w:rPr>
                <w:color w:val="auto"/>
                <w:kern w:val="0"/>
                <w:sz w:val="22"/>
                <w:szCs w:val="22"/>
              </w:rPr>
              <w:t>②项目调整及支出调整手续是否完备；</w:t>
            </w:r>
            <w:r>
              <w:rPr>
                <w:color w:val="auto"/>
                <w:kern w:val="0"/>
                <w:sz w:val="22"/>
                <w:szCs w:val="22"/>
              </w:rPr>
              <w:br w:type="textWrapping"/>
            </w:r>
            <w:r>
              <w:rPr>
                <w:color w:val="auto"/>
                <w:kern w:val="0"/>
                <w:sz w:val="22"/>
                <w:szCs w:val="22"/>
              </w:rPr>
              <w:t>③项目合同书、验收报告、技术鉴定等资料是否齐全并及时归档；</w:t>
            </w:r>
            <w:r>
              <w:rPr>
                <w:color w:val="auto"/>
                <w:kern w:val="0"/>
                <w:sz w:val="22"/>
                <w:szCs w:val="22"/>
              </w:rPr>
              <w:br w:type="textWrapping"/>
            </w:r>
            <w:r>
              <w:rPr>
                <w:color w:val="auto"/>
                <w:kern w:val="0"/>
                <w:sz w:val="22"/>
                <w:szCs w:val="22"/>
              </w:rPr>
              <w:t>④项目实施的人员条件、场地设备、信息支撑等是否落实到位。</w:t>
            </w:r>
          </w:p>
        </w:tc>
        <w:tc>
          <w:tcPr>
            <w:tcW w:w="512" w:type="pct"/>
            <w:shd w:val="clear" w:color="000000" w:fill="FFFFFF"/>
            <w:vAlign w:val="center"/>
          </w:tcPr>
          <w:p w14:paraId="02E421F8">
            <w:pPr>
              <w:widowControl/>
              <w:spacing w:line="0" w:lineRule="atLeast"/>
              <w:jc w:val="center"/>
              <w:rPr>
                <w:b/>
                <w:bCs/>
                <w:color w:val="auto"/>
                <w:kern w:val="0"/>
                <w:sz w:val="22"/>
                <w:szCs w:val="22"/>
              </w:rPr>
            </w:pPr>
            <w:r>
              <w:rPr>
                <w:b/>
                <w:bCs/>
                <w:color w:val="auto"/>
                <w:kern w:val="0"/>
                <w:sz w:val="22"/>
                <w:szCs w:val="22"/>
              </w:rPr>
              <w:t>4</w:t>
            </w:r>
          </w:p>
        </w:tc>
        <w:tc>
          <w:tcPr>
            <w:tcW w:w="536" w:type="pct"/>
            <w:shd w:val="clear" w:color="000000" w:fill="FFFFFF"/>
            <w:vAlign w:val="center"/>
          </w:tcPr>
          <w:p w14:paraId="1A0DCA66">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45CF4C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6" w:type="pct"/>
            <w:vMerge w:val="restart"/>
            <w:shd w:val="clear" w:color="auto" w:fill="FFFFFF"/>
            <w:vAlign w:val="center"/>
          </w:tcPr>
          <w:p w14:paraId="39455D45">
            <w:pPr>
              <w:widowControl/>
              <w:spacing w:line="0" w:lineRule="atLeast"/>
              <w:jc w:val="center"/>
              <w:rPr>
                <w:color w:val="auto"/>
                <w:kern w:val="0"/>
                <w:sz w:val="22"/>
                <w:szCs w:val="22"/>
              </w:rPr>
            </w:pPr>
            <w:r>
              <w:rPr>
                <w:color w:val="auto"/>
                <w:kern w:val="0"/>
                <w:sz w:val="22"/>
                <w:szCs w:val="22"/>
              </w:rPr>
              <w:t>产出</w:t>
            </w:r>
          </w:p>
        </w:tc>
        <w:tc>
          <w:tcPr>
            <w:tcW w:w="301" w:type="pct"/>
            <w:shd w:val="clear" w:color="auto" w:fill="FFFFFF"/>
            <w:vAlign w:val="center"/>
          </w:tcPr>
          <w:p w14:paraId="665C2A0C">
            <w:pPr>
              <w:widowControl/>
              <w:spacing w:line="0" w:lineRule="atLeast"/>
              <w:jc w:val="center"/>
              <w:rPr>
                <w:color w:val="auto"/>
                <w:kern w:val="0"/>
                <w:sz w:val="22"/>
                <w:szCs w:val="22"/>
              </w:rPr>
            </w:pPr>
            <w:r>
              <w:rPr>
                <w:color w:val="auto"/>
                <w:kern w:val="0"/>
                <w:sz w:val="22"/>
                <w:szCs w:val="22"/>
              </w:rPr>
              <w:t>产出数量</w:t>
            </w:r>
          </w:p>
        </w:tc>
        <w:tc>
          <w:tcPr>
            <w:tcW w:w="344" w:type="pct"/>
            <w:shd w:val="clear" w:color="auto" w:fill="FFFFFF"/>
            <w:vAlign w:val="center"/>
          </w:tcPr>
          <w:p w14:paraId="0AE79487">
            <w:pPr>
              <w:widowControl/>
              <w:spacing w:line="0" w:lineRule="atLeast"/>
              <w:jc w:val="center"/>
              <w:rPr>
                <w:color w:val="auto"/>
                <w:kern w:val="0"/>
                <w:sz w:val="22"/>
                <w:szCs w:val="22"/>
              </w:rPr>
            </w:pPr>
            <w:r>
              <w:rPr>
                <w:color w:val="auto"/>
                <w:kern w:val="0"/>
                <w:sz w:val="22"/>
                <w:szCs w:val="22"/>
              </w:rPr>
              <w:t>实际完成率</w:t>
            </w:r>
          </w:p>
        </w:tc>
        <w:tc>
          <w:tcPr>
            <w:tcW w:w="927" w:type="pct"/>
            <w:shd w:val="clear" w:color="000000" w:fill="FFFFFF"/>
            <w:vAlign w:val="center"/>
          </w:tcPr>
          <w:p w14:paraId="1B2F4574">
            <w:pPr>
              <w:widowControl/>
              <w:spacing w:line="0" w:lineRule="atLeast"/>
              <w:rPr>
                <w:color w:val="auto"/>
                <w:kern w:val="0"/>
                <w:sz w:val="22"/>
                <w:szCs w:val="22"/>
              </w:rPr>
            </w:pPr>
            <w:r>
              <w:rPr>
                <w:color w:val="auto"/>
                <w:kern w:val="0"/>
                <w:sz w:val="22"/>
                <w:szCs w:val="22"/>
              </w:rPr>
              <w:t>项目实施的实际产出数与计划产出数的比率，用以反映和考核项目产出数量目标的实现程度。</w:t>
            </w:r>
          </w:p>
        </w:tc>
        <w:tc>
          <w:tcPr>
            <w:tcW w:w="2051" w:type="pct"/>
            <w:shd w:val="clear" w:color="000000" w:fill="FFFFFF"/>
            <w:vAlign w:val="center"/>
          </w:tcPr>
          <w:p w14:paraId="63B265AF">
            <w:pPr>
              <w:widowControl/>
              <w:spacing w:line="0" w:lineRule="atLeast"/>
              <w:rPr>
                <w:color w:val="auto"/>
                <w:kern w:val="0"/>
                <w:sz w:val="22"/>
                <w:szCs w:val="22"/>
              </w:rPr>
            </w:pPr>
            <w:r>
              <w:rPr>
                <w:color w:val="auto"/>
                <w:kern w:val="0"/>
                <w:sz w:val="22"/>
                <w:szCs w:val="22"/>
              </w:rPr>
              <w:t>实际完成率=（实际产出数/计划产出数）×100%。</w:t>
            </w:r>
            <w:r>
              <w:rPr>
                <w:color w:val="auto"/>
                <w:kern w:val="0"/>
                <w:sz w:val="22"/>
                <w:szCs w:val="22"/>
              </w:rPr>
              <w:br w:type="textWrapping"/>
            </w:r>
            <w:r>
              <w:rPr>
                <w:color w:val="auto"/>
                <w:kern w:val="0"/>
                <w:sz w:val="22"/>
                <w:szCs w:val="22"/>
              </w:rPr>
              <w:t>实际产出数：一定时期（本年度或项目期）内项目实际产出的产品或提供的服务数量。</w:t>
            </w:r>
            <w:r>
              <w:rPr>
                <w:color w:val="auto"/>
                <w:kern w:val="0"/>
                <w:sz w:val="22"/>
                <w:szCs w:val="22"/>
              </w:rPr>
              <w:br w:type="textWrapping"/>
            </w:r>
            <w:r>
              <w:rPr>
                <w:color w:val="auto"/>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5EA5D91B">
            <w:pPr>
              <w:widowControl/>
              <w:spacing w:line="0" w:lineRule="atLeast"/>
              <w:jc w:val="center"/>
              <w:rPr>
                <w:b/>
                <w:bCs/>
                <w:color w:val="auto"/>
                <w:kern w:val="0"/>
                <w:sz w:val="22"/>
                <w:szCs w:val="22"/>
              </w:rPr>
            </w:pPr>
            <w:r>
              <w:rPr>
                <w:b/>
                <w:bCs/>
                <w:color w:val="auto"/>
                <w:kern w:val="0"/>
                <w:sz w:val="22"/>
                <w:szCs w:val="22"/>
              </w:rPr>
              <w:t>10</w:t>
            </w:r>
          </w:p>
        </w:tc>
        <w:tc>
          <w:tcPr>
            <w:tcW w:w="536" w:type="pct"/>
            <w:shd w:val="clear" w:color="000000" w:fill="FFFFFF"/>
            <w:vAlign w:val="center"/>
          </w:tcPr>
          <w:p w14:paraId="6EB31C3C">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9.72</w:t>
            </w:r>
          </w:p>
        </w:tc>
      </w:tr>
      <w:tr w14:paraId="323875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6" w:type="pct"/>
            <w:vMerge w:val="continue"/>
            <w:shd w:val="clear" w:color="auto" w:fill="FFFFFF"/>
            <w:vAlign w:val="center"/>
          </w:tcPr>
          <w:p w14:paraId="163EDA8E">
            <w:pPr>
              <w:widowControl/>
              <w:spacing w:line="0" w:lineRule="atLeast"/>
              <w:jc w:val="center"/>
              <w:rPr>
                <w:color w:val="auto"/>
                <w:kern w:val="0"/>
                <w:sz w:val="22"/>
                <w:szCs w:val="22"/>
              </w:rPr>
            </w:pPr>
          </w:p>
        </w:tc>
        <w:tc>
          <w:tcPr>
            <w:tcW w:w="301" w:type="pct"/>
            <w:shd w:val="clear" w:color="auto" w:fill="FFFFFF"/>
            <w:vAlign w:val="center"/>
          </w:tcPr>
          <w:p w14:paraId="28E5FFC8">
            <w:pPr>
              <w:widowControl/>
              <w:spacing w:line="0" w:lineRule="atLeast"/>
              <w:jc w:val="center"/>
              <w:rPr>
                <w:color w:val="auto"/>
                <w:kern w:val="0"/>
                <w:sz w:val="22"/>
                <w:szCs w:val="22"/>
              </w:rPr>
            </w:pPr>
            <w:r>
              <w:rPr>
                <w:color w:val="auto"/>
                <w:kern w:val="0"/>
                <w:sz w:val="22"/>
                <w:szCs w:val="22"/>
              </w:rPr>
              <w:t>产出质量</w:t>
            </w:r>
          </w:p>
        </w:tc>
        <w:tc>
          <w:tcPr>
            <w:tcW w:w="344" w:type="pct"/>
            <w:shd w:val="clear" w:color="auto" w:fill="FFFFFF"/>
            <w:vAlign w:val="center"/>
          </w:tcPr>
          <w:p w14:paraId="3BC463DD">
            <w:pPr>
              <w:widowControl/>
              <w:spacing w:line="0" w:lineRule="atLeast"/>
              <w:jc w:val="center"/>
              <w:rPr>
                <w:color w:val="auto"/>
                <w:kern w:val="0"/>
                <w:sz w:val="22"/>
                <w:szCs w:val="22"/>
              </w:rPr>
            </w:pPr>
            <w:r>
              <w:rPr>
                <w:color w:val="auto"/>
                <w:kern w:val="0"/>
                <w:sz w:val="22"/>
                <w:szCs w:val="22"/>
              </w:rPr>
              <w:t>质量达标率</w:t>
            </w:r>
          </w:p>
        </w:tc>
        <w:tc>
          <w:tcPr>
            <w:tcW w:w="927" w:type="pct"/>
            <w:shd w:val="clear" w:color="000000" w:fill="FFFFFF"/>
            <w:vAlign w:val="center"/>
          </w:tcPr>
          <w:p w14:paraId="5D7B7FA9">
            <w:pPr>
              <w:widowControl/>
              <w:spacing w:line="0" w:lineRule="atLeast"/>
              <w:rPr>
                <w:color w:val="auto"/>
                <w:kern w:val="0"/>
                <w:sz w:val="22"/>
                <w:szCs w:val="22"/>
              </w:rPr>
            </w:pPr>
            <w:r>
              <w:rPr>
                <w:color w:val="auto"/>
                <w:kern w:val="0"/>
                <w:sz w:val="22"/>
                <w:szCs w:val="22"/>
              </w:rPr>
              <w:t>项目完成的质量达标产出数与实际产出数的比率，用以反映和考核项目产出质量目标的实现程度。</w:t>
            </w:r>
          </w:p>
        </w:tc>
        <w:tc>
          <w:tcPr>
            <w:tcW w:w="2051" w:type="pct"/>
            <w:shd w:val="clear" w:color="000000" w:fill="FFFFFF"/>
            <w:vAlign w:val="center"/>
          </w:tcPr>
          <w:p w14:paraId="1F117818">
            <w:pPr>
              <w:widowControl/>
              <w:spacing w:line="0" w:lineRule="atLeast"/>
              <w:rPr>
                <w:color w:val="auto"/>
                <w:kern w:val="0"/>
                <w:sz w:val="22"/>
                <w:szCs w:val="22"/>
              </w:rPr>
            </w:pPr>
            <w:r>
              <w:rPr>
                <w:color w:val="auto"/>
                <w:kern w:val="0"/>
                <w:sz w:val="22"/>
                <w:szCs w:val="22"/>
              </w:rPr>
              <w:t>质量达标率=（质量达标产出数/实际产出数）×100%。</w:t>
            </w:r>
          </w:p>
          <w:p w14:paraId="1D6DCA3C">
            <w:pPr>
              <w:widowControl/>
              <w:spacing w:line="0" w:lineRule="atLeast"/>
              <w:rPr>
                <w:color w:val="auto"/>
                <w:kern w:val="0"/>
                <w:sz w:val="22"/>
                <w:szCs w:val="22"/>
              </w:rPr>
            </w:pPr>
            <w:r>
              <w:rPr>
                <w:color w:val="auto"/>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1C04217B">
            <w:pPr>
              <w:widowControl/>
              <w:spacing w:line="0" w:lineRule="atLeast"/>
              <w:jc w:val="center"/>
              <w:rPr>
                <w:b/>
                <w:bCs/>
                <w:color w:val="auto"/>
                <w:kern w:val="0"/>
                <w:sz w:val="22"/>
                <w:szCs w:val="22"/>
              </w:rPr>
            </w:pPr>
            <w:r>
              <w:rPr>
                <w:b/>
                <w:bCs/>
                <w:color w:val="auto"/>
                <w:kern w:val="0"/>
                <w:sz w:val="22"/>
                <w:szCs w:val="22"/>
              </w:rPr>
              <w:t>10</w:t>
            </w:r>
          </w:p>
        </w:tc>
        <w:tc>
          <w:tcPr>
            <w:tcW w:w="536" w:type="pct"/>
            <w:shd w:val="clear" w:color="000000" w:fill="FFFFFF"/>
            <w:vAlign w:val="center"/>
          </w:tcPr>
          <w:p w14:paraId="0777FAD9">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1343A3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6" w:type="pct"/>
            <w:vMerge w:val="continue"/>
            <w:shd w:val="clear" w:color="auto" w:fill="FFFFFF"/>
            <w:vAlign w:val="center"/>
          </w:tcPr>
          <w:p w14:paraId="02AFA61C">
            <w:pPr>
              <w:spacing w:line="0" w:lineRule="atLeast"/>
              <w:jc w:val="center"/>
              <w:rPr>
                <w:color w:val="auto"/>
                <w:kern w:val="0"/>
                <w:sz w:val="22"/>
                <w:szCs w:val="22"/>
              </w:rPr>
            </w:pPr>
          </w:p>
        </w:tc>
        <w:tc>
          <w:tcPr>
            <w:tcW w:w="301" w:type="pct"/>
            <w:shd w:val="clear" w:color="auto" w:fill="FFFFFF"/>
            <w:vAlign w:val="center"/>
          </w:tcPr>
          <w:p w14:paraId="2A9A5351">
            <w:pPr>
              <w:spacing w:line="0" w:lineRule="atLeast"/>
              <w:jc w:val="center"/>
              <w:rPr>
                <w:color w:val="auto"/>
                <w:kern w:val="0"/>
                <w:sz w:val="22"/>
                <w:szCs w:val="22"/>
              </w:rPr>
            </w:pPr>
            <w:r>
              <w:rPr>
                <w:color w:val="auto"/>
                <w:kern w:val="0"/>
                <w:sz w:val="22"/>
                <w:szCs w:val="22"/>
              </w:rPr>
              <w:t>产出时效</w:t>
            </w:r>
          </w:p>
        </w:tc>
        <w:tc>
          <w:tcPr>
            <w:tcW w:w="344" w:type="pct"/>
            <w:shd w:val="clear" w:color="auto" w:fill="FFFFFF"/>
            <w:vAlign w:val="center"/>
          </w:tcPr>
          <w:p w14:paraId="3656DC4F">
            <w:pPr>
              <w:widowControl/>
              <w:spacing w:line="0" w:lineRule="atLeast"/>
              <w:jc w:val="center"/>
              <w:rPr>
                <w:color w:val="auto"/>
                <w:kern w:val="0"/>
                <w:sz w:val="22"/>
                <w:szCs w:val="22"/>
              </w:rPr>
            </w:pPr>
            <w:r>
              <w:rPr>
                <w:color w:val="auto"/>
                <w:kern w:val="0"/>
                <w:sz w:val="22"/>
                <w:szCs w:val="22"/>
              </w:rPr>
              <w:t>完成及时性</w:t>
            </w:r>
          </w:p>
        </w:tc>
        <w:tc>
          <w:tcPr>
            <w:tcW w:w="927" w:type="pct"/>
            <w:shd w:val="clear" w:color="000000" w:fill="FFFFFF"/>
            <w:vAlign w:val="center"/>
          </w:tcPr>
          <w:p w14:paraId="49760729">
            <w:pPr>
              <w:widowControl/>
              <w:spacing w:line="0" w:lineRule="atLeast"/>
              <w:rPr>
                <w:color w:val="auto"/>
                <w:kern w:val="0"/>
                <w:sz w:val="22"/>
                <w:szCs w:val="22"/>
              </w:rPr>
            </w:pPr>
            <w:r>
              <w:rPr>
                <w:color w:val="auto"/>
                <w:kern w:val="0"/>
                <w:sz w:val="22"/>
                <w:szCs w:val="22"/>
              </w:rPr>
              <w:t>项目实际完成时间与计划完成时间的比较，用以反映和考核项目产出时效目标的实现程度。</w:t>
            </w:r>
          </w:p>
        </w:tc>
        <w:tc>
          <w:tcPr>
            <w:tcW w:w="2051" w:type="pct"/>
            <w:shd w:val="clear" w:color="000000" w:fill="FFFFFF"/>
            <w:vAlign w:val="center"/>
          </w:tcPr>
          <w:p w14:paraId="4129F9B1">
            <w:pPr>
              <w:widowControl/>
              <w:spacing w:line="0" w:lineRule="atLeast"/>
              <w:rPr>
                <w:color w:val="auto"/>
                <w:kern w:val="0"/>
                <w:sz w:val="22"/>
                <w:szCs w:val="22"/>
              </w:rPr>
            </w:pPr>
            <w:r>
              <w:rPr>
                <w:color w:val="auto"/>
                <w:kern w:val="0"/>
                <w:sz w:val="22"/>
                <w:szCs w:val="22"/>
              </w:rPr>
              <w:t>实际完成时间：项目实施单位完成该项目实际所耗用的时间。</w:t>
            </w:r>
            <w:r>
              <w:rPr>
                <w:color w:val="auto"/>
                <w:kern w:val="0"/>
                <w:sz w:val="22"/>
                <w:szCs w:val="22"/>
              </w:rPr>
              <w:br w:type="textWrapping"/>
            </w:r>
            <w:r>
              <w:rPr>
                <w:color w:val="auto"/>
                <w:kern w:val="0"/>
                <w:sz w:val="22"/>
                <w:szCs w:val="22"/>
              </w:rPr>
              <w:t>计划完成时间：按照项目实施计划或相关规定完成该项目所需的时间。</w:t>
            </w:r>
          </w:p>
        </w:tc>
        <w:tc>
          <w:tcPr>
            <w:tcW w:w="512" w:type="pct"/>
            <w:shd w:val="clear" w:color="000000" w:fill="FFFFFF"/>
            <w:vAlign w:val="center"/>
          </w:tcPr>
          <w:p w14:paraId="4B160E3B">
            <w:pPr>
              <w:widowControl/>
              <w:spacing w:line="0" w:lineRule="atLeast"/>
              <w:jc w:val="center"/>
              <w:rPr>
                <w:b/>
                <w:bCs/>
                <w:color w:val="auto"/>
                <w:kern w:val="0"/>
                <w:sz w:val="22"/>
                <w:szCs w:val="22"/>
              </w:rPr>
            </w:pPr>
            <w:r>
              <w:rPr>
                <w:b/>
                <w:bCs/>
                <w:color w:val="auto"/>
                <w:kern w:val="0"/>
                <w:sz w:val="22"/>
                <w:szCs w:val="22"/>
              </w:rPr>
              <w:t>10</w:t>
            </w:r>
          </w:p>
        </w:tc>
        <w:tc>
          <w:tcPr>
            <w:tcW w:w="536" w:type="pct"/>
            <w:shd w:val="clear" w:color="000000" w:fill="FFFFFF"/>
            <w:vAlign w:val="center"/>
          </w:tcPr>
          <w:p w14:paraId="4AF4E65A">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9.65</w:t>
            </w:r>
          </w:p>
        </w:tc>
      </w:tr>
      <w:tr w14:paraId="59AD73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6" w:type="pct"/>
            <w:vMerge w:val="continue"/>
            <w:shd w:val="clear" w:color="auto" w:fill="FFFFFF"/>
            <w:vAlign w:val="center"/>
          </w:tcPr>
          <w:p w14:paraId="7F5F5E40">
            <w:pPr>
              <w:widowControl/>
              <w:spacing w:line="0" w:lineRule="atLeast"/>
              <w:jc w:val="center"/>
              <w:rPr>
                <w:color w:val="auto"/>
                <w:kern w:val="0"/>
                <w:sz w:val="22"/>
                <w:szCs w:val="22"/>
              </w:rPr>
            </w:pPr>
          </w:p>
        </w:tc>
        <w:tc>
          <w:tcPr>
            <w:tcW w:w="301" w:type="pct"/>
            <w:shd w:val="clear" w:color="auto" w:fill="FFFFFF"/>
            <w:vAlign w:val="center"/>
          </w:tcPr>
          <w:p w14:paraId="5CDF3C62">
            <w:pPr>
              <w:widowControl/>
              <w:spacing w:line="0" w:lineRule="atLeast"/>
              <w:jc w:val="center"/>
              <w:rPr>
                <w:color w:val="auto"/>
                <w:kern w:val="0"/>
                <w:sz w:val="22"/>
                <w:szCs w:val="22"/>
              </w:rPr>
            </w:pPr>
            <w:r>
              <w:rPr>
                <w:color w:val="auto"/>
                <w:kern w:val="0"/>
                <w:sz w:val="22"/>
                <w:szCs w:val="22"/>
              </w:rPr>
              <w:t>产出成本</w:t>
            </w:r>
          </w:p>
        </w:tc>
        <w:tc>
          <w:tcPr>
            <w:tcW w:w="344" w:type="pct"/>
            <w:shd w:val="clear" w:color="auto" w:fill="FFFFFF"/>
            <w:vAlign w:val="center"/>
          </w:tcPr>
          <w:p w14:paraId="33B32E1C">
            <w:pPr>
              <w:widowControl/>
              <w:spacing w:line="0" w:lineRule="atLeast"/>
              <w:jc w:val="center"/>
              <w:rPr>
                <w:color w:val="auto"/>
                <w:kern w:val="0"/>
                <w:sz w:val="22"/>
                <w:szCs w:val="22"/>
              </w:rPr>
            </w:pPr>
            <w:r>
              <w:rPr>
                <w:color w:val="auto"/>
                <w:kern w:val="0"/>
                <w:sz w:val="22"/>
                <w:szCs w:val="22"/>
              </w:rPr>
              <w:t>成本节约率</w:t>
            </w:r>
          </w:p>
        </w:tc>
        <w:tc>
          <w:tcPr>
            <w:tcW w:w="927" w:type="pct"/>
            <w:shd w:val="clear" w:color="000000" w:fill="FFFFFF"/>
            <w:vAlign w:val="center"/>
          </w:tcPr>
          <w:p w14:paraId="201FFD53">
            <w:pPr>
              <w:widowControl/>
              <w:spacing w:line="0" w:lineRule="atLeast"/>
              <w:rPr>
                <w:color w:val="auto"/>
                <w:kern w:val="0"/>
                <w:sz w:val="22"/>
                <w:szCs w:val="22"/>
              </w:rPr>
            </w:pPr>
            <w:r>
              <w:rPr>
                <w:color w:val="auto"/>
                <w:kern w:val="0"/>
                <w:sz w:val="22"/>
                <w:szCs w:val="22"/>
              </w:rPr>
              <w:t>完成项目计划工作目标的实际节约成本与计划成本的比率，用以反映和考核项目的成本节约程度。</w:t>
            </w:r>
          </w:p>
        </w:tc>
        <w:tc>
          <w:tcPr>
            <w:tcW w:w="2051" w:type="pct"/>
            <w:shd w:val="clear" w:color="000000" w:fill="FFFFFF"/>
            <w:vAlign w:val="center"/>
          </w:tcPr>
          <w:p w14:paraId="2928A0A1">
            <w:pPr>
              <w:widowControl/>
              <w:spacing w:line="0" w:lineRule="atLeast"/>
              <w:rPr>
                <w:color w:val="auto"/>
                <w:kern w:val="0"/>
                <w:sz w:val="22"/>
                <w:szCs w:val="22"/>
              </w:rPr>
            </w:pPr>
            <w:r>
              <w:rPr>
                <w:color w:val="auto"/>
                <w:kern w:val="0"/>
                <w:sz w:val="22"/>
                <w:szCs w:val="22"/>
              </w:rPr>
              <w:br w:type="textWrapping"/>
            </w:r>
            <w:r>
              <w:rPr>
                <w:color w:val="auto"/>
                <w:kern w:val="0"/>
                <w:sz w:val="22"/>
                <w:szCs w:val="22"/>
              </w:rPr>
              <w:t>成本节约率=[（计划成本-实际成本）/计划成本]×100%。</w:t>
            </w:r>
            <w:r>
              <w:rPr>
                <w:color w:val="auto"/>
                <w:kern w:val="0"/>
                <w:sz w:val="22"/>
                <w:szCs w:val="22"/>
              </w:rPr>
              <w:br w:type="textWrapping"/>
            </w:r>
            <w:r>
              <w:rPr>
                <w:color w:val="auto"/>
                <w:kern w:val="0"/>
                <w:sz w:val="22"/>
                <w:szCs w:val="22"/>
              </w:rPr>
              <w:t>实际成本：项目实施单位如期、保质、保量完成既定工作目标实际所耗费的支出。</w:t>
            </w:r>
            <w:r>
              <w:rPr>
                <w:color w:val="auto"/>
                <w:kern w:val="0"/>
                <w:sz w:val="22"/>
                <w:szCs w:val="22"/>
              </w:rPr>
              <w:br w:type="textWrapping"/>
            </w:r>
            <w:r>
              <w:rPr>
                <w:color w:val="auto"/>
                <w:kern w:val="0"/>
                <w:sz w:val="22"/>
                <w:szCs w:val="22"/>
              </w:rPr>
              <w:t>计划成本：项目实施单位为完成工作目标计划安排的支出，一般以项目预算为参考。</w:t>
            </w:r>
          </w:p>
        </w:tc>
        <w:tc>
          <w:tcPr>
            <w:tcW w:w="512" w:type="pct"/>
            <w:shd w:val="clear" w:color="000000" w:fill="FFFFFF"/>
            <w:vAlign w:val="center"/>
          </w:tcPr>
          <w:p w14:paraId="77240C7C">
            <w:pPr>
              <w:widowControl/>
              <w:spacing w:line="0" w:lineRule="atLeast"/>
              <w:jc w:val="center"/>
              <w:rPr>
                <w:b/>
                <w:bCs/>
                <w:color w:val="auto"/>
                <w:kern w:val="0"/>
                <w:sz w:val="22"/>
                <w:szCs w:val="22"/>
              </w:rPr>
            </w:pPr>
            <w:r>
              <w:rPr>
                <w:b/>
                <w:bCs/>
                <w:color w:val="auto"/>
                <w:kern w:val="0"/>
                <w:sz w:val="22"/>
                <w:szCs w:val="22"/>
              </w:rPr>
              <w:t>10</w:t>
            </w:r>
          </w:p>
        </w:tc>
        <w:tc>
          <w:tcPr>
            <w:tcW w:w="536" w:type="pct"/>
            <w:shd w:val="clear" w:color="000000" w:fill="FFFFFF"/>
            <w:vAlign w:val="center"/>
          </w:tcPr>
          <w:p w14:paraId="6EB59445">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70DFD0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6" w:type="pct"/>
            <w:vMerge w:val="restart"/>
            <w:shd w:val="clear" w:color="auto" w:fill="FFFFFF"/>
            <w:vAlign w:val="center"/>
          </w:tcPr>
          <w:p w14:paraId="66BC98DB">
            <w:pPr>
              <w:widowControl/>
              <w:spacing w:line="0" w:lineRule="atLeast"/>
              <w:jc w:val="center"/>
              <w:rPr>
                <w:color w:val="auto"/>
                <w:kern w:val="0"/>
                <w:sz w:val="22"/>
                <w:szCs w:val="22"/>
              </w:rPr>
            </w:pPr>
            <w:r>
              <w:rPr>
                <w:color w:val="auto"/>
                <w:kern w:val="0"/>
                <w:sz w:val="22"/>
                <w:szCs w:val="22"/>
              </w:rPr>
              <w:t>效益　</w:t>
            </w:r>
          </w:p>
        </w:tc>
        <w:tc>
          <w:tcPr>
            <w:tcW w:w="301" w:type="pct"/>
            <w:vMerge w:val="restart"/>
            <w:shd w:val="clear" w:color="auto" w:fill="FFFFFF"/>
            <w:vAlign w:val="center"/>
          </w:tcPr>
          <w:p w14:paraId="2DD3B906">
            <w:pPr>
              <w:widowControl/>
              <w:spacing w:line="0" w:lineRule="atLeast"/>
              <w:jc w:val="center"/>
              <w:rPr>
                <w:color w:val="auto"/>
                <w:kern w:val="0"/>
                <w:sz w:val="22"/>
                <w:szCs w:val="22"/>
              </w:rPr>
            </w:pPr>
            <w:r>
              <w:rPr>
                <w:color w:val="auto"/>
                <w:kern w:val="0"/>
                <w:sz w:val="22"/>
                <w:szCs w:val="22"/>
              </w:rPr>
              <w:t>项目效益　</w:t>
            </w:r>
          </w:p>
        </w:tc>
        <w:tc>
          <w:tcPr>
            <w:tcW w:w="344" w:type="pct"/>
            <w:shd w:val="clear" w:color="auto" w:fill="FFFFFF"/>
            <w:vAlign w:val="center"/>
          </w:tcPr>
          <w:p w14:paraId="53E3B72F">
            <w:pPr>
              <w:widowControl/>
              <w:spacing w:line="0" w:lineRule="atLeast"/>
              <w:jc w:val="center"/>
              <w:rPr>
                <w:color w:val="auto"/>
                <w:kern w:val="0"/>
                <w:sz w:val="22"/>
                <w:szCs w:val="22"/>
              </w:rPr>
            </w:pPr>
            <w:r>
              <w:rPr>
                <w:color w:val="auto"/>
                <w:kern w:val="0"/>
                <w:sz w:val="22"/>
                <w:szCs w:val="22"/>
              </w:rPr>
              <w:t>实施效益</w:t>
            </w:r>
          </w:p>
        </w:tc>
        <w:tc>
          <w:tcPr>
            <w:tcW w:w="927" w:type="pct"/>
            <w:shd w:val="clear" w:color="auto" w:fill="FFFFFF"/>
            <w:vAlign w:val="center"/>
          </w:tcPr>
          <w:p w14:paraId="5F0B5319">
            <w:pPr>
              <w:widowControl/>
              <w:spacing w:line="0" w:lineRule="atLeast"/>
              <w:jc w:val="left"/>
              <w:rPr>
                <w:color w:val="auto"/>
                <w:kern w:val="0"/>
                <w:sz w:val="22"/>
                <w:szCs w:val="22"/>
              </w:rPr>
            </w:pPr>
            <w:r>
              <w:rPr>
                <w:color w:val="auto"/>
                <w:kern w:val="0"/>
                <w:sz w:val="22"/>
                <w:szCs w:val="22"/>
              </w:rPr>
              <w:t>项目实施所产生的效益。</w:t>
            </w:r>
          </w:p>
        </w:tc>
        <w:tc>
          <w:tcPr>
            <w:tcW w:w="2051" w:type="pct"/>
            <w:shd w:val="clear" w:color="auto" w:fill="FFFFFF"/>
            <w:vAlign w:val="center"/>
          </w:tcPr>
          <w:p w14:paraId="59BCFAFD">
            <w:pPr>
              <w:widowControl/>
              <w:spacing w:line="0" w:lineRule="atLeast"/>
              <w:rPr>
                <w:color w:val="auto"/>
                <w:kern w:val="0"/>
                <w:sz w:val="22"/>
                <w:szCs w:val="22"/>
              </w:rPr>
            </w:pPr>
            <w:r>
              <w:rPr>
                <w:color w:val="auto"/>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6779F9CC">
            <w:pPr>
              <w:widowControl/>
              <w:spacing w:line="0" w:lineRule="atLeast"/>
              <w:jc w:val="center"/>
              <w:rPr>
                <w:b/>
                <w:bCs/>
                <w:color w:val="auto"/>
                <w:kern w:val="0"/>
                <w:sz w:val="22"/>
                <w:szCs w:val="22"/>
              </w:rPr>
            </w:pPr>
            <w:r>
              <w:rPr>
                <w:b/>
                <w:bCs/>
                <w:color w:val="auto"/>
                <w:kern w:val="0"/>
                <w:sz w:val="22"/>
                <w:szCs w:val="22"/>
              </w:rPr>
              <w:t>10</w:t>
            </w:r>
          </w:p>
        </w:tc>
        <w:tc>
          <w:tcPr>
            <w:tcW w:w="536" w:type="pct"/>
            <w:shd w:val="clear" w:color="auto" w:fill="FFFFFF"/>
            <w:vAlign w:val="center"/>
          </w:tcPr>
          <w:p w14:paraId="4FF7DC88">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7D5EF0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6" w:type="pct"/>
            <w:vMerge w:val="continue"/>
            <w:shd w:val="clear" w:color="auto" w:fill="FFFFFF"/>
            <w:vAlign w:val="center"/>
          </w:tcPr>
          <w:p w14:paraId="0FE458E9">
            <w:pPr>
              <w:widowControl/>
              <w:spacing w:line="0" w:lineRule="atLeast"/>
              <w:jc w:val="center"/>
              <w:rPr>
                <w:color w:val="auto"/>
                <w:kern w:val="0"/>
                <w:sz w:val="22"/>
                <w:szCs w:val="22"/>
              </w:rPr>
            </w:pPr>
          </w:p>
        </w:tc>
        <w:tc>
          <w:tcPr>
            <w:tcW w:w="301" w:type="pct"/>
            <w:vMerge w:val="continue"/>
            <w:shd w:val="clear" w:color="auto" w:fill="FFFFFF"/>
            <w:vAlign w:val="center"/>
          </w:tcPr>
          <w:p w14:paraId="36E86639">
            <w:pPr>
              <w:widowControl/>
              <w:spacing w:line="0" w:lineRule="atLeast"/>
              <w:jc w:val="center"/>
              <w:rPr>
                <w:color w:val="auto"/>
                <w:kern w:val="0"/>
                <w:sz w:val="22"/>
                <w:szCs w:val="22"/>
              </w:rPr>
            </w:pPr>
          </w:p>
        </w:tc>
        <w:tc>
          <w:tcPr>
            <w:tcW w:w="344" w:type="pct"/>
            <w:shd w:val="clear" w:color="auto" w:fill="FFFFFF"/>
            <w:vAlign w:val="center"/>
          </w:tcPr>
          <w:p w14:paraId="09AB4AD2">
            <w:pPr>
              <w:widowControl/>
              <w:spacing w:line="0" w:lineRule="atLeast"/>
              <w:jc w:val="center"/>
              <w:rPr>
                <w:color w:val="auto"/>
                <w:kern w:val="0"/>
                <w:sz w:val="22"/>
                <w:szCs w:val="22"/>
              </w:rPr>
            </w:pPr>
            <w:r>
              <w:rPr>
                <w:color w:val="auto"/>
                <w:kern w:val="0"/>
                <w:sz w:val="22"/>
                <w:szCs w:val="22"/>
              </w:rPr>
              <w:t>满意度</w:t>
            </w:r>
          </w:p>
        </w:tc>
        <w:tc>
          <w:tcPr>
            <w:tcW w:w="927" w:type="pct"/>
            <w:shd w:val="clear" w:color="000000" w:fill="FFFFFF"/>
            <w:vAlign w:val="center"/>
          </w:tcPr>
          <w:p w14:paraId="10582A37">
            <w:pPr>
              <w:widowControl/>
              <w:spacing w:line="0" w:lineRule="atLeast"/>
              <w:rPr>
                <w:color w:val="auto"/>
                <w:kern w:val="0"/>
                <w:sz w:val="22"/>
                <w:szCs w:val="22"/>
              </w:rPr>
            </w:pPr>
            <w:r>
              <w:rPr>
                <w:color w:val="auto"/>
                <w:kern w:val="0"/>
                <w:sz w:val="22"/>
                <w:szCs w:val="22"/>
              </w:rPr>
              <w:t>社会公众或服务对象对项目实施效果的满意程度。</w:t>
            </w:r>
          </w:p>
        </w:tc>
        <w:tc>
          <w:tcPr>
            <w:tcW w:w="2051" w:type="pct"/>
            <w:shd w:val="clear" w:color="000000" w:fill="FFFFFF"/>
            <w:vAlign w:val="center"/>
          </w:tcPr>
          <w:p w14:paraId="143BEE00">
            <w:pPr>
              <w:widowControl/>
              <w:spacing w:line="0" w:lineRule="atLeast"/>
              <w:rPr>
                <w:color w:val="auto"/>
                <w:kern w:val="0"/>
                <w:sz w:val="22"/>
                <w:szCs w:val="22"/>
              </w:rPr>
            </w:pPr>
            <w:r>
              <w:rPr>
                <w:color w:val="auto"/>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12A81FE1">
            <w:pPr>
              <w:widowControl/>
              <w:spacing w:line="0" w:lineRule="atLeast"/>
              <w:jc w:val="center"/>
              <w:rPr>
                <w:b/>
                <w:bCs/>
                <w:color w:val="auto"/>
                <w:kern w:val="0"/>
                <w:sz w:val="22"/>
                <w:szCs w:val="22"/>
              </w:rPr>
            </w:pPr>
            <w:r>
              <w:rPr>
                <w:b/>
                <w:bCs/>
                <w:color w:val="auto"/>
                <w:kern w:val="0"/>
                <w:sz w:val="22"/>
                <w:szCs w:val="22"/>
              </w:rPr>
              <w:t>10</w:t>
            </w:r>
          </w:p>
        </w:tc>
        <w:tc>
          <w:tcPr>
            <w:tcW w:w="536" w:type="pct"/>
            <w:shd w:val="clear" w:color="000000" w:fill="FFFFFF"/>
            <w:vAlign w:val="center"/>
          </w:tcPr>
          <w:p w14:paraId="64961594">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3FF93C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04" w:hRule="atLeast"/>
          <w:jc w:val="center"/>
        </w:trPr>
        <w:tc>
          <w:tcPr>
            <w:tcW w:w="3950" w:type="pct"/>
            <w:gridSpan w:val="5"/>
            <w:shd w:val="clear" w:color="auto" w:fill="FFFFFF"/>
            <w:vAlign w:val="center"/>
          </w:tcPr>
          <w:p w14:paraId="661D0E1F">
            <w:pPr>
              <w:widowControl/>
              <w:spacing w:line="0" w:lineRule="atLeast"/>
              <w:jc w:val="center"/>
              <w:rPr>
                <w:rFonts w:hint="eastAsia" w:eastAsia="宋体"/>
                <w:color w:val="auto"/>
                <w:kern w:val="0"/>
                <w:sz w:val="22"/>
                <w:szCs w:val="22"/>
                <w:lang w:val="en-US" w:eastAsia="zh-CN"/>
              </w:rPr>
            </w:pPr>
            <w:r>
              <w:rPr>
                <w:rFonts w:hint="eastAsia"/>
                <w:b/>
                <w:bCs/>
                <w:color w:val="auto"/>
                <w:kern w:val="0"/>
                <w:sz w:val="22"/>
                <w:szCs w:val="22"/>
                <w:lang w:val="en-US" w:eastAsia="zh-CN"/>
              </w:rPr>
              <w:t>合计</w:t>
            </w:r>
          </w:p>
        </w:tc>
        <w:tc>
          <w:tcPr>
            <w:tcW w:w="512" w:type="pct"/>
            <w:shd w:val="clear" w:color="000000" w:fill="FFFFFF"/>
            <w:vAlign w:val="center"/>
          </w:tcPr>
          <w:p w14:paraId="0F62E2C1">
            <w:pPr>
              <w:widowControl/>
              <w:spacing w:line="0" w:lineRule="atLeast"/>
              <w:jc w:val="center"/>
              <w:rPr>
                <w:rFonts w:hint="default" w:eastAsia="宋体"/>
                <w:b w:val="0"/>
                <w:bCs w:val="0"/>
                <w:color w:val="auto"/>
                <w:kern w:val="0"/>
                <w:sz w:val="22"/>
                <w:szCs w:val="22"/>
                <w:lang w:val="en-US" w:eastAsia="zh-CN"/>
              </w:rPr>
            </w:pPr>
            <w:r>
              <w:rPr>
                <w:rFonts w:hint="eastAsia"/>
                <w:b/>
                <w:bCs/>
                <w:color w:val="auto"/>
                <w:kern w:val="0"/>
                <w:sz w:val="22"/>
                <w:szCs w:val="22"/>
                <w:lang w:val="en-US" w:eastAsia="zh-CN"/>
              </w:rPr>
              <w:t>100</w:t>
            </w:r>
          </w:p>
        </w:tc>
        <w:tc>
          <w:tcPr>
            <w:tcW w:w="536" w:type="pct"/>
            <w:shd w:val="clear" w:color="000000" w:fill="FFFFFF"/>
            <w:vAlign w:val="center"/>
          </w:tcPr>
          <w:p w14:paraId="0AD48A66">
            <w:pPr>
              <w:widowControl/>
              <w:spacing w:line="0" w:lineRule="atLeast"/>
              <w:jc w:val="center"/>
              <w:rPr>
                <w:rFonts w:hint="default" w:eastAsia="宋体"/>
                <w:b w:val="0"/>
                <w:bCs w:val="0"/>
                <w:color w:val="auto"/>
                <w:kern w:val="0"/>
                <w:sz w:val="22"/>
                <w:szCs w:val="22"/>
                <w:highlight w:val="none"/>
                <w:lang w:val="en-US" w:eastAsia="zh-CN"/>
              </w:rPr>
            </w:pPr>
            <w:r>
              <w:rPr>
                <w:rFonts w:hint="eastAsia"/>
                <w:b/>
                <w:bCs/>
                <w:color w:val="auto"/>
                <w:kern w:val="0"/>
                <w:sz w:val="22"/>
                <w:szCs w:val="22"/>
                <w:highlight w:val="none"/>
                <w:lang w:val="en-US" w:eastAsia="zh-CN"/>
              </w:rPr>
              <w:fldChar w:fldCharType="begin"/>
            </w:r>
            <w:r>
              <w:rPr>
                <w:rFonts w:hint="eastAsia"/>
                <w:b/>
                <w:bCs/>
                <w:color w:val="auto"/>
                <w:kern w:val="0"/>
                <w:sz w:val="22"/>
                <w:szCs w:val="22"/>
                <w:highlight w:val="none"/>
                <w:lang w:val="en-US" w:eastAsia="zh-CN"/>
              </w:rPr>
              <w:instrText xml:space="preserve"> = sum(G2:G18) \* MERGEFORMAT </w:instrText>
            </w:r>
            <w:r>
              <w:rPr>
                <w:rFonts w:hint="eastAsia"/>
                <w:b/>
                <w:bCs/>
                <w:color w:val="auto"/>
                <w:kern w:val="0"/>
                <w:sz w:val="22"/>
                <w:szCs w:val="22"/>
                <w:highlight w:val="none"/>
                <w:lang w:val="en-US" w:eastAsia="zh-CN"/>
              </w:rPr>
              <w:fldChar w:fldCharType="separate"/>
            </w:r>
            <w:r>
              <w:rPr>
                <w:rFonts w:hint="eastAsia"/>
                <w:b/>
                <w:bCs/>
                <w:color w:val="auto"/>
                <w:kern w:val="0"/>
                <w:sz w:val="22"/>
                <w:szCs w:val="22"/>
                <w:highlight w:val="none"/>
                <w:lang w:val="en-US" w:eastAsia="zh-CN"/>
              </w:rPr>
              <w:t>99.37</w:t>
            </w:r>
            <w:r>
              <w:rPr>
                <w:rFonts w:hint="eastAsia"/>
                <w:b/>
                <w:bCs/>
                <w:color w:val="auto"/>
                <w:kern w:val="0"/>
                <w:sz w:val="22"/>
                <w:szCs w:val="22"/>
                <w:highlight w:val="none"/>
                <w:lang w:val="en-US" w:eastAsia="zh-CN"/>
              </w:rPr>
              <w:fldChar w:fldCharType="end"/>
            </w:r>
          </w:p>
        </w:tc>
      </w:tr>
    </w:tbl>
    <w:p w14:paraId="52EBA59F">
      <w:pPr>
        <w:rPr>
          <w:color w:val="auto"/>
        </w:rPr>
      </w:pPr>
    </w:p>
    <w:bookmarkEnd w:id="5"/>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A8FA65D-3230-4A14-9DFA-42E2370A2AE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CC00EC98-8E44-4548-A802-047165939CAF}"/>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C5DE54F6-909E-4AFE-A1EF-D1FBD39366D7}"/>
  </w:font>
  <w:font w:name="华文中宋">
    <w:panose1 w:val="02010600040101010101"/>
    <w:charset w:val="86"/>
    <w:family w:val="auto"/>
    <w:pitch w:val="default"/>
    <w:sig w:usb0="00000287" w:usb1="080F0000" w:usb2="00000000" w:usb3="00000000" w:csb0="0004009F" w:csb1="DFD70000"/>
    <w:embedRegular r:id="rId4" w:fontKey="{C793B36F-AD21-4860-9F7C-0B778BACCE70}"/>
  </w:font>
  <w:font w:name="方正小标宋简体">
    <w:panose1 w:val="03000509000000000000"/>
    <w:charset w:val="86"/>
    <w:family w:val="auto"/>
    <w:pitch w:val="default"/>
    <w:sig w:usb0="00000001" w:usb1="080E0000" w:usb2="00000000" w:usb3="00000000" w:csb0="00040000" w:csb1="00000000"/>
    <w:embedRegular r:id="rId5" w:fontKey="{CBE3E3BC-3BE6-46EA-88D5-82CB5C40A391}"/>
  </w:font>
  <w:font w:name="楷体_GB2312">
    <w:panose1 w:val="02010609030101010101"/>
    <w:charset w:val="86"/>
    <w:family w:val="auto"/>
    <w:pitch w:val="default"/>
    <w:sig w:usb0="00000001" w:usb1="080E0000" w:usb2="00000000" w:usb3="00000000" w:csb0="00040000" w:csb1="00000000"/>
    <w:embedRegular r:id="rId6" w:fontKey="{D55EB1D3-11FE-4B8E-9D24-F18F2F7E24F9}"/>
  </w:font>
  <w:font w:name="方正仿宋_GBK">
    <w:panose1 w:val="02000000000000000000"/>
    <w:charset w:val="86"/>
    <w:family w:val="auto"/>
    <w:pitch w:val="default"/>
    <w:sig w:usb0="A00002BF" w:usb1="38CF7CFA" w:usb2="00082016" w:usb3="00000000" w:csb0="00040001" w:csb1="00000000"/>
    <w:embedRegular r:id="rId7" w:fontKey="{84B94887-63C3-42C4-812A-3E3D9B323370}"/>
  </w:font>
  <w:font w:name="楷体">
    <w:panose1 w:val="02010609060101010101"/>
    <w:charset w:val="86"/>
    <w:family w:val="modern"/>
    <w:pitch w:val="default"/>
    <w:sig w:usb0="800002BF" w:usb1="38CF7CFA" w:usb2="00000016" w:usb3="00000000" w:csb0="00040001" w:csb1="00000000"/>
    <w:embedRegular r:id="rId8" w:fontKey="{CF2213DD-43DD-41C3-A2AC-7B68DA6CE60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Theme="minorEastAsia" w:hAnsiTheme="minorEastAsia" w:eastAsiaTheme="minorEastAsia" w:cstheme="minorEastAsia"/>
        <w:sz w:val="28"/>
        <w:szCs w:val="28"/>
      </w:rPr>
      <w:id w:val="422003363"/>
    </w:sdtPr>
    <w:sdtEndPr>
      <w:rPr>
        <w:rFonts w:hint="eastAsia" w:asciiTheme="minorEastAsia" w:hAnsiTheme="minorEastAsia" w:eastAsiaTheme="minorEastAsia" w:cstheme="minorEastAsia"/>
        <w:sz w:val="28"/>
        <w:szCs w:val="28"/>
      </w:rPr>
    </w:sdtEndPr>
    <w:sdtContent>
      <w:p w14:paraId="7CE54CF6">
        <w:pPr>
          <w:pStyle w:val="9"/>
          <w:jc w:val="cente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PAGE   \* MERGEFORMAT</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lang w:val="zh-CN"/>
          </w:rPr>
          <w:t>13</w:t>
        </w:r>
        <w:r>
          <w:rPr>
            <w:rFonts w:hint="eastAsia" w:asciiTheme="minorEastAsia" w:hAnsiTheme="minorEastAsia" w:eastAsiaTheme="minorEastAsia" w:cstheme="minorEastAsia"/>
            <w:sz w:val="28"/>
            <w:szCs w:val="28"/>
          </w:rPr>
          <w:fldChar w:fldCharType="end"/>
        </w:r>
      </w:p>
    </w:sdtContent>
  </w:sdt>
  <w:p w14:paraId="3F858B44">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9379A8"/>
    <w:multiLevelType w:val="singleLevel"/>
    <w:tmpl w:val="FF9379A8"/>
    <w:lvl w:ilvl="0" w:tentative="0">
      <w:start w:val="2"/>
      <w:numFmt w:val="chineseCounting"/>
      <w:suff w:val="nothing"/>
      <w:lvlText w:val="（%1）"/>
      <w:lvlJc w:val="left"/>
      <w:rPr>
        <w:rFonts w:hint="eastAsia"/>
      </w:rPr>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ascii="楷体" w:hAnsi="楷体" w:eastAsia="楷体" w:cs="楷体"/>
      </w:rPr>
    </w:lvl>
  </w:abstractNum>
  <w:abstractNum w:abstractNumId="3">
    <w:nsid w:val="6FAA0AB1"/>
    <w:multiLevelType w:val="singleLevel"/>
    <w:tmpl w:val="6FAA0AB1"/>
    <w:lvl w:ilvl="0" w:tentative="0">
      <w:start w:val="2"/>
      <w:numFmt w:val="chineseCounting"/>
      <w:suff w:val="nothing"/>
      <w:lvlText w:val="（%1）"/>
      <w:lvlJc w:val="left"/>
      <w:rPr>
        <w:rFonts w:hint="eastAsia" w:ascii="楷体" w:hAnsi="楷体" w:eastAsia="楷体" w:cs="楷体"/>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xZTI3ODM4ZmVjOGE5NDFiYmE3OTRiMjQ5OTEyNzIifQ=="/>
  </w:docVars>
  <w:rsids>
    <w:rsidRoot w:val="FF6C4049"/>
    <w:rsid w:val="006F7242"/>
    <w:rsid w:val="007B168A"/>
    <w:rsid w:val="008B2CFE"/>
    <w:rsid w:val="00F26FF6"/>
    <w:rsid w:val="01E5411B"/>
    <w:rsid w:val="06870471"/>
    <w:rsid w:val="07397B77"/>
    <w:rsid w:val="08896A56"/>
    <w:rsid w:val="099D2DE5"/>
    <w:rsid w:val="09AF5ECF"/>
    <w:rsid w:val="0DBD35CD"/>
    <w:rsid w:val="13471461"/>
    <w:rsid w:val="13B90F01"/>
    <w:rsid w:val="159C637B"/>
    <w:rsid w:val="181066D2"/>
    <w:rsid w:val="1C671E73"/>
    <w:rsid w:val="1FC26755"/>
    <w:rsid w:val="267E2763"/>
    <w:rsid w:val="28A44C56"/>
    <w:rsid w:val="30297EDA"/>
    <w:rsid w:val="349621CE"/>
    <w:rsid w:val="35A4229C"/>
    <w:rsid w:val="38CA40DD"/>
    <w:rsid w:val="395F2B56"/>
    <w:rsid w:val="3B6D679C"/>
    <w:rsid w:val="3BECE841"/>
    <w:rsid w:val="3C2459F9"/>
    <w:rsid w:val="3FF7797D"/>
    <w:rsid w:val="41DE3711"/>
    <w:rsid w:val="4743164D"/>
    <w:rsid w:val="47D77DC3"/>
    <w:rsid w:val="4D277515"/>
    <w:rsid w:val="51A654C5"/>
    <w:rsid w:val="5BE10DB9"/>
    <w:rsid w:val="5BFF6039"/>
    <w:rsid w:val="5D76A616"/>
    <w:rsid w:val="5D7F20B9"/>
    <w:rsid w:val="5DAC7D0E"/>
    <w:rsid w:val="5F98B5AF"/>
    <w:rsid w:val="5FFE8511"/>
    <w:rsid w:val="5FFEACE2"/>
    <w:rsid w:val="610063B0"/>
    <w:rsid w:val="62782AD0"/>
    <w:rsid w:val="643EE26D"/>
    <w:rsid w:val="6538040D"/>
    <w:rsid w:val="6BBE3BE4"/>
    <w:rsid w:val="6F5C41AC"/>
    <w:rsid w:val="6FAF6C78"/>
    <w:rsid w:val="703D260A"/>
    <w:rsid w:val="7317C656"/>
    <w:rsid w:val="734ED73F"/>
    <w:rsid w:val="75502DDF"/>
    <w:rsid w:val="75B02D47"/>
    <w:rsid w:val="769D38C5"/>
    <w:rsid w:val="774144AB"/>
    <w:rsid w:val="77FD8BE9"/>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2">
    <w:name w:val="heading 4"/>
    <w:basedOn w:val="1"/>
    <w:next w:val="1"/>
    <w:autoRedefine/>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character" w:default="1" w:styleId="16">
    <w:name w:val="Default Paragraph Font"/>
    <w:autoRedefine/>
    <w:semiHidden/>
    <w:unhideWhenUsed/>
    <w:qFormat/>
    <w:uiPriority w:val="1"/>
  </w:style>
  <w:style w:type="table" w:default="1" w:styleId="15">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23"/>
    <w:autoRedefine/>
    <w:qFormat/>
    <w:uiPriority w:val="0"/>
    <w:pPr>
      <w:jc w:val="left"/>
    </w:pPr>
  </w:style>
  <w:style w:type="paragraph" w:styleId="5">
    <w:name w:val="Salutation"/>
    <w:basedOn w:val="1"/>
    <w:next w:val="1"/>
    <w:autoRedefine/>
    <w:qFormat/>
    <w:uiPriority w:val="0"/>
  </w:style>
  <w:style w:type="paragraph" w:styleId="6">
    <w:name w:val="Body Text"/>
    <w:basedOn w:val="1"/>
    <w:autoRedefine/>
    <w:qFormat/>
    <w:uiPriority w:val="0"/>
    <w:pPr>
      <w:spacing w:after="120"/>
    </w:pPr>
  </w:style>
  <w:style w:type="paragraph" w:styleId="7">
    <w:name w:val="Body Text Indent"/>
    <w:basedOn w:val="1"/>
    <w:autoRedefine/>
    <w:qFormat/>
    <w:uiPriority w:val="0"/>
    <w:pPr>
      <w:spacing w:after="120"/>
      <w:ind w:left="420" w:leftChars="200"/>
    </w:pPr>
    <w:rPr>
      <w:rFonts w:ascii="Calibri" w:hAnsi="Calibri"/>
    </w:rPr>
  </w:style>
  <w:style w:type="paragraph" w:styleId="8">
    <w:name w:val="Balloon Text"/>
    <w:basedOn w:val="1"/>
    <w:link w:val="21"/>
    <w:autoRedefine/>
    <w:qFormat/>
    <w:uiPriority w:val="0"/>
    <w:rPr>
      <w:sz w:val="18"/>
      <w:szCs w:val="18"/>
    </w:rPr>
  </w:style>
  <w:style w:type="paragraph" w:styleId="9">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10">
    <w:name w:val="header"/>
    <w:basedOn w:val="1"/>
    <w:link w:val="22"/>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4"/>
    <w:next w:val="4"/>
    <w:link w:val="24"/>
    <w:autoRedefine/>
    <w:qFormat/>
    <w:uiPriority w:val="0"/>
    <w:rPr>
      <w:b/>
      <w:bCs/>
    </w:rPr>
  </w:style>
  <w:style w:type="paragraph" w:styleId="13">
    <w:name w:val="Body Text First Indent"/>
    <w:basedOn w:val="6"/>
    <w:autoRedefine/>
    <w:qFormat/>
    <w:uiPriority w:val="0"/>
    <w:pPr>
      <w:spacing w:after="0"/>
      <w:ind w:firstLine="200" w:firstLineChars="200"/>
    </w:pPr>
  </w:style>
  <w:style w:type="paragraph" w:styleId="14">
    <w:name w:val="Body Text First Indent 2"/>
    <w:basedOn w:val="7"/>
    <w:autoRedefine/>
    <w:qFormat/>
    <w:uiPriority w:val="0"/>
    <w:pPr>
      <w:ind w:firstLine="420" w:firstLineChars="200"/>
    </w:pPr>
  </w:style>
  <w:style w:type="character" w:styleId="17">
    <w:name w:val="Strong"/>
    <w:basedOn w:val="16"/>
    <w:autoRedefine/>
    <w:qFormat/>
    <w:uiPriority w:val="0"/>
    <w:rPr>
      <w:b/>
      <w:bCs/>
    </w:rPr>
  </w:style>
  <w:style w:type="character" w:styleId="18">
    <w:name w:val="annotation reference"/>
    <w:basedOn w:val="16"/>
    <w:autoRedefine/>
    <w:qFormat/>
    <w:uiPriority w:val="0"/>
    <w:rPr>
      <w:sz w:val="21"/>
      <w:szCs w:val="21"/>
    </w:rPr>
  </w:style>
  <w:style w:type="character" w:customStyle="1" w:styleId="19">
    <w:name w:val="fontstyle01"/>
    <w:autoRedefine/>
    <w:qFormat/>
    <w:uiPriority w:val="0"/>
    <w:rPr>
      <w:rFonts w:ascii="仿宋_GB2312" w:hAnsi="仿宋_GB2312" w:eastAsia="仿宋_GB2312" w:cs="仿宋_GB2312"/>
      <w:color w:val="000000"/>
      <w:sz w:val="32"/>
      <w:szCs w:val="32"/>
    </w:rPr>
  </w:style>
  <w:style w:type="paragraph" w:customStyle="1" w:styleId="20">
    <w:name w:val="闻政-正文段落文字"/>
    <w:basedOn w:val="1"/>
    <w:autoRedefine/>
    <w:qFormat/>
    <w:uiPriority w:val="3"/>
    <w:pPr>
      <w:spacing w:line="500" w:lineRule="exact"/>
      <w:ind w:firstLine="200"/>
    </w:pPr>
    <w:rPr>
      <w:kern w:val="0"/>
      <w:szCs w:val="28"/>
    </w:rPr>
  </w:style>
  <w:style w:type="character" w:customStyle="1" w:styleId="21">
    <w:name w:val="批注框文本 字符"/>
    <w:basedOn w:val="16"/>
    <w:link w:val="8"/>
    <w:autoRedefine/>
    <w:qFormat/>
    <w:uiPriority w:val="0"/>
    <w:rPr>
      <w:rFonts w:ascii="Times New Roman" w:hAnsi="Times New Roman" w:eastAsia="宋体" w:cs="Times New Roman"/>
      <w:kern w:val="2"/>
      <w:sz w:val="18"/>
      <w:szCs w:val="18"/>
    </w:rPr>
  </w:style>
  <w:style w:type="character" w:customStyle="1" w:styleId="22">
    <w:name w:val="页眉 字符"/>
    <w:basedOn w:val="16"/>
    <w:link w:val="10"/>
    <w:autoRedefine/>
    <w:qFormat/>
    <w:uiPriority w:val="0"/>
    <w:rPr>
      <w:rFonts w:ascii="Times New Roman" w:hAnsi="Times New Roman" w:eastAsia="宋体" w:cs="Times New Roman"/>
      <w:kern w:val="2"/>
      <w:sz w:val="18"/>
      <w:szCs w:val="18"/>
    </w:rPr>
  </w:style>
  <w:style w:type="character" w:customStyle="1" w:styleId="23">
    <w:name w:val="批注文字 字符"/>
    <w:basedOn w:val="16"/>
    <w:link w:val="4"/>
    <w:autoRedefine/>
    <w:qFormat/>
    <w:uiPriority w:val="0"/>
    <w:rPr>
      <w:rFonts w:ascii="Times New Roman" w:hAnsi="Times New Roman" w:eastAsia="宋体" w:cs="Times New Roman"/>
      <w:kern w:val="2"/>
      <w:sz w:val="21"/>
      <w:szCs w:val="24"/>
    </w:rPr>
  </w:style>
  <w:style w:type="character" w:customStyle="1" w:styleId="24">
    <w:name w:val="批注主题 字符"/>
    <w:basedOn w:val="23"/>
    <w:link w:val="12"/>
    <w:autoRedefine/>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10306</Words>
  <Characters>10754</Characters>
  <Lines>58</Lines>
  <Paragraphs>16</Paragraphs>
  <TotalTime>8</TotalTime>
  <ScaleCrop>false</ScaleCrop>
  <LinksUpToDate>false</LinksUpToDate>
  <CharactersWithSpaces>10775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dcterms:modified xsi:type="dcterms:W3CDTF">2024-10-14T16:47:17Z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F5C1A45C14B641DD9B423D5DB2A4088E_13</vt:lpwstr>
  </property>
</Properties>
</file>