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27E5E">
      <w:pPr>
        <w:pStyle w:val="4"/>
      </w:pPr>
      <w:r>
        <w:rPr>
          <w:rFonts w:hint="eastAsia"/>
        </w:rPr>
        <w:t>附件3:</w:t>
      </w:r>
    </w:p>
    <w:p w14:paraId="1982A1B3">
      <w:pPr>
        <w:pStyle w:val="2"/>
        <w:jc w:val="both"/>
        <w:rPr>
          <w:rFonts w:hint="eastAsia"/>
          <w:sz w:val="36"/>
          <w:szCs w:val="36"/>
        </w:rPr>
      </w:pPr>
    </w:p>
    <w:p w14:paraId="5F958DEF">
      <w:pPr>
        <w:pStyle w:val="2"/>
        <w:jc w:val="center"/>
        <w:rPr>
          <w:rFonts w:hint="eastAsia"/>
          <w:sz w:val="36"/>
          <w:szCs w:val="36"/>
        </w:rPr>
      </w:pPr>
    </w:p>
    <w:p w14:paraId="70F6DB73">
      <w:pPr>
        <w:pStyle w:val="2"/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新疆转移支付</w:t>
      </w:r>
      <w:r>
        <w:rPr>
          <w:sz w:val="36"/>
          <w:szCs w:val="36"/>
        </w:rPr>
        <w:t>2023</w:t>
      </w:r>
      <w:r>
        <w:rPr>
          <w:rFonts w:hint="eastAsia"/>
          <w:sz w:val="36"/>
          <w:szCs w:val="36"/>
        </w:rPr>
        <w:t>年度绩效自评报告</w:t>
      </w:r>
    </w:p>
    <w:p w14:paraId="37663713">
      <w:pPr>
        <w:rPr>
          <w:rFonts w:hint="eastAsia"/>
          <w:sz w:val="36"/>
          <w:szCs w:val="36"/>
        </w:rPr>
      </w:pPr>
    </w:p>
    <w:p w14:paraId="5070BFFF">
      <w:pPr>
        <w:rPr>
          <w:rFonts w:hint="eastAsia"/>
          <w:sz w:val="36"/>
          <w:szCs w:val="36"/>
        </w:rPr>
      </w:pPr>
    </w:p>
    <w:p w14:paraId="460D923E">
      <w:pPr>
        <w:rPr>
          <w:rFonts w:hint="eastAsia"/>
          <w:sz w:val="36"/>
          <w:szCs w:val="36"/>
        </w:rPr>
      </w:pPr>
    </w:p>
    <w:p w14:paraId="74564F81">
      <w:pPr>
        <w:rPr>
          <w:rFonts w:hint="eastAsia"/>
          <w:sz w:val="36"/>
          <w:szCs w:val="36"/>
        </w:rPr>
      </w:pPr>
    </w:p>
    <w:p w14:paraId="3CA9F989">
      <w:pPr>
        <w:rPr>
          <w:rFonts w:hint="eastAsia"/>
          <w:sz w:val="36"/>
          <w:szCs w:val="36"/>
        </w:rPr>
      </w:pPr>
    </w:p>
    <w:p w14:paraId="726DD01A">
      <w:pPr>
        <w:rPr>
          <w:rFonts w:hint="eastAsia"/>
          <w:sz w:val="36"/>
          <w:szCs w:val="36"/>
        </w:rPr>
      </w:pPr>
    </w:p>
    <w:p w14:paraId="1A596275">
      <w:pPr>
        <w:spacing w:line="700" w:lineRule="exact"/>
        <w:ind w:firstLine="1280" w:firstLineChars="400"/>
        <w:jc w:val="left"/>
        <w:rPr>
          <w:rFonts w:eastAsia="仿宋_GB2312"/>
          <w:color w:val="auto"/>
          <w:kern w:val="0"/>
          <w:sz w:val="32"/>
          <w:szCs w:val="32"/>
        </w:rPr>
      </w:pPr>
      <w:r>
        <w:rPr>
          <w:rFonts w:eastAsia="仿宋_GB2312"/>
          <w:color w:val="auto"/>
          <w:kern w:val="0"/>
          <w:sz w:val="32"/>
          <w:szCs w:val="32"/>
        </w:rPr>
        <w:t>项目名称：</w:t>
      </w:r>
      <w:bookmarkStart w:id="0" w:name="_GoBack"/>
      <w:bookmarkEnd w:id="0"/>
      <w:r>
        <w:rPr>
          <w:rFonts w:hint="eastAsia" w:eastAsia="仿宋_GB2312"/>
          <w:color w:val="auto"/>
          <w:kern w:val="0"/>
          <w:sz w:val="32"/>
          <w:szCs w:val="32"/>
        </w:rPr>
        <w:t>自治区特大防汛补助费项目</w:t>
      </w:r>
    </w:p>
    <w:p w14:paraId="7E2F2692">
      <w:pPr>
        <w:spacing w:line="700" w:lineRule="exact"/>
        <w:ind w:firstLine="1280" w:firstLineChars="400"/>
        <w:jc w:val="left"/>
        <w:rPr>
          <w:rFonts w:eastAsia="仿宋_GB2312"/>
          <w:color w:val="auto"/>
          <w:kern w:val="0"/>
          <w:sz w:val="32"/>
          <w:szCs w:val="32"/>
        </w:rPr>
      </w:pPr>
      <w:r>
        <w:rPr>
          <w:rFonts w:eastAsia="仿宋_GB2312"/>
          <w:color w:val="auto"/>
          <w:kern w:val="0"/>
          <w:sz w:val="32"/>
          <w:szCs w:val="32"/>
        </w:rPr>
        <w:t>实施单位（公章）：</w:t>
      </w:r>
      <w:r>
        <w:rPr>
          <w:rFonts w:hint="eastAsia" w:eastAsia="仿宋_GB2312"/>
          <w:color w:val="auto"/>
          <w:kern w:val="0"/>
          <w:sz w:val="32"/>
          <w:szCs w:val="32"/>
        </w:rPr>
        <w:t>自治区应急管理厅办公室</w:t>
      </w:r>
    </w:p>
    <w:p w14:paraId="0BCD4D04">
      <w:pPr>
        <w:spacing w:line="700" w:lineRule="exact"/>
        <w:ind w:firstLine="1280" w:firstLineChars="400"/>
        <w:jc w:val="left"/>
        <w:rPr>
          <w:rFonts w:eastAsia="仿宋_GB2312"/>
          <w:color w:val="auto"/>
          <w:kern w:val="0"/>
          <w:sz w:val="32"/>
          <w:szCs w:val="32"/>
        </w:rPr>
      </w:pPr>
      <w:r>
        <w:rPr>
          <w:rFonts w:eastAsia="仿宋_GB2312"/>
          <w:color w:val="auto"/>
          <w:kern w:val="0"/>
          <w:sz w:val="32"/>
          <w:szCs w:val="32"/>
        </w:rPr>
        <w:t>主管部门（公章）：</w:t>
      </w:r>
      <w:r>
        <w:rPr>
          <w:rFonts w:hint="eastAsia" w:eastAsia="仿宋_GB2312"/>
          <w:color w:val="auto"/>
          <w:kern w:val="0"/>
          <w:sz w:val="32"/>
          <w:szCs w:val="32"/>
        </w:rPr>
        <w:t>自治区应急管理厅</w:t>
      </w:r>
    </w:p>
    <w:p w14:paraId="42DF9B9E">
      <w:pPr>
        <w:spacing w:line="700" w:lineRule="exact"/>
        <w:ind w:firstLine="1280" w:firstLineChars="400"/>
        <w:jc w:val="left"/>
        <w:rPr>
          <w:rFonts w:hint="eastAsia" w:eastAsia="仿宋_GB2312"/>
          <w:color w:val="auto"/>
          <w:kern w:val="0"/>
          <w:sz w:val="32"/>
          <w:szCs w:val="32"/>
          <w:lang w:val="en-US" w:eastAsia="zh-Hans"/>
        </w:rPr>
      </w:pPr>
      <w:r>
        <w:rPr>
          <w:rFonts w:eastAsia="仿宋_GB2312"/>
          <w:color w:val="auto"/>
          <w:kern w:val="0"/>
          <w:sz w:val="32"/>
          <w:szCs w:val="32"/>
        </w:rPr>
        <w:t>项目负责人（签章）：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Hans"/>
        </w:rPr>
        <w:t>刘德祥</w:t>
      </w:r>
    </w:p>
    <w:p w14:paraId="25C2023F">
      <w:pPr>
        <w:spacing w:line="700" w:lineRule="exact"/>
        <w:ind w:firstLine="1280" w:firstLineChars="400"/>
        <w:jc w:val="left"/>
        <w:rPr>
          <w:rFonts w:eastAsia="仿宋_GB2312"/>
          <w:color w:val="auto"/>
          <w:kern w:val="0"/>
          <w:sz w:val="32"/>
          <w:szCs w:val="32"/>
        </w:rPr>
      </w:pPr>
      <w:r>
        <w:rPr>
          <w:rFonts w:eastAsia="仿宋_GB2312"/>
          <w:color w:val="auto"/>
          <w:kern w:val="0"/>
          <w:sz w:val="32"/>
          <w:szCs w:val="32"/>
        </w:rPr>
        <w:t>填报时间：</w:t>
      </w:r>
      <w:r>
        <w:rPr>
          <w:rFonts w:hint="eastAsia" w:eastAsia="仿宋_GB2312"/>
          <w:color w:val="auto"/>
          <w:kern w:val="0"/>
          <w:sz w:val="32"/>
          <w:szCs w:val="32"/>
        </w:rPr>
        <w:t>2024</w:t>
      </w:r>
      <w:r>
        <w:rPr>
          <w:rFonts w:eastAsia="仿宋_GB2312"/>
          <w:color w:val="auto"/>
          <w:kern w:val="0"/>
          <w:sz w:val="32"/>
          <w:szCs w:val="32"/>
        </w:rPr>
        <w:t>年</w:t>
      </w:r>
      <w:r>
        <w:rPr>
          <w:rFonts w:hint="eastAsia" w:eastAsia="仿宋_GB2312"/>
          <w:color w:val="auto"/>
          <w:kern w:val="0"/>
          <w:sz w:val="32"/>
          <w:szCs w:val="32"/>
        </w:rPr>
        <w:t>3</w:t>
      </w:r>
      <w:r>
        <w:rPr>
          <w:rFonts w:eastAsia="仿宋_GB2312"/>
          <w:color w:val="auto"/>
          <w:kern w:val="0"/>
          <w:sz w:val="32"/>
          <w:szCs w:val="32"/>
        </w:rPr>
        <w:t>月</w:t>
      </w:r>
      <w:r>
        <w:rPr>
          <w:rFonts w:hint="eastAsia" w:eastAsia="仿宋_GB2312"/>
          <w:color w:val="auto"/>
          <w:kern w:val="0"/>
          <w:sz w:val="32"/>
          <w:szCs w:val="32"/>
        </w:rPr>
        <w:t>14</w:t>
      </w:r>
      <w:r>
        <w:rPr>
          <w:rFonts w:eastAsia="仿宋_GB2312"/>
          <w:color w:val="auto"/>
          <w:kern w:val="0"/>
          <w:sz w:val="32"/>
          <w:szCs w:val="32"/>
        </w:rPr>
        <w:t>日</w:t>
      </w:r>
    </w:p>
    <w:p w14:paraId="4359BA1D">
      <w:pPr>
        <w:rPr>
          <w:rFonts w:hint="eastAsia"/>
          <w:sz w:val="36"/>
          <w:szCs w:val="36"/>
        </w:rPr>
      </w:pPr>
    </w:p>
    <w:p w14:paraId="4631EACC">
      <w:pPr>
        <w:pStyle w:val="3"/>
        <w:numPr>
          <w:ilvl w:val="0"/>
          <w:numId w:val="1"/>
        </w:numPr>
      </w:pPr>
      <w:r>
        <w:rPr>
          <w:rFonts w:hint="eastAsia"/>
        </w:rPr>
        <w:t>绩效目标分解下达情况</w:t>
      </w:r>
    </w:p>
    <w:p w14:paraId="040960B1">
      <w:pPr>
        <w:pStyle w:val="12"/>
        <w:numPr>
          <w:ilvl w:val="0"/>
          <w:numId w:val="2"/>
        </w:numPr>
        <w:spacing w:line="540" w:lineRule="exact"/>
        <w:ind w:firstLineChars="0"/>
        <w:rPr>
          <w:rStyle w:val="9"/>
          <w:rFonts w:ascii="楷体" w:hAnsi="楷体" w:eastAsia="楷体"/>
          <w:b w:val="0"/>
          <w:spacing w:val="-4"/>
          <w:sz w:val="32"/>
          <w:szCs w:val="32"/>
        </w:rPr>
      </w:pPr>
      <w:r>
        <w:rPr>
          <w:rStyle w:val="9"/>
          <w:rFonts w:hint="eastAsia" w:ascii="楷体" w:hAnsi="楷体" w:eastAsia="楷体"/>
          <w:b w:val="0"/>
          <w:spacing w:val="-4"/>
          <w:sz w:val="32"/>
          <w:szCs w:val="32"/>
        </w:rPr>
        <w:t>中央下达专项转移支付预算和绩效目标情况</w:t>
      </w:r>
    </w:p>
    <w:p w14:paraId="76CF0BD6">
      <w:pPr>
        <w:ind w:left="1260" w:firstLine="240"/>
        <w:rPr>
          <w:rFonts w:asciiTheme="minorEastAsia" w:hAnsiTheme="minorEastAsia"/>
          <w:sz w:val="24"/>
        </w:rPr>
      </w:pPr>
    </w:p>
    <w:p w14:paraId="00061106">
      <w:pPr>
        <w:pStyle w:val="12"/>
        <w:numPr>
          <w:ilvl w:val="0"/>
          <w:numId w:val="2"/>
        </w:numPr>
        <w:spacing w:line="540" w:lineRule="exact"/>
        <w:ind w:firstLineChars="0"/>
        <w:rPr>
          <w:rStyle w:val="9"/>
          <w:rFonts w:ascii="楷体" w:hAnsi="楷体" w:eastAsia="楷体"/>
          <w:b w:val="0"/>
          <w:spacing w:val="-4"/>
          <w:sz w:val="32"/>
          <w:szCs w:val="32"/>
        </w:rPr>
      </w:pPr>
      <w:r>
        <w:rPr>
          <w:rStyle w:val="9"/>
          <w:rFonts w:hint="eastAsia" w:ascii="楷体" w:hAnsi="楷体" w:eastAsia="楷体"/>
          <w:b w:val="0"/>
          <w:spacing w:val="-4"/>
          <w:sz w:val="32"/>
          <w:szCs w:val="32"/>
        </w:rPr>
        <w:t>自治区分解下达预算和绩效目标情况</w:t>
      </w:r>
    </w:p>
    <w:p w14:paraId="03C7C576">
      <w:pPr>
        <w:ind w:left="1500"/>
        <w:rPr>
          <w:rStyle w:val="9"/>
          <w:rFonts w:asciiTheme="minorEastAsia" w:hAnsiTheme="minorEastAsia"/>
          <w:b w:val="0"/>
          <w:spacing w:val="-4"/>
          <w:sz w:val="24"/>
        </w:rPr>
      </w:pPr>
      <w:r>
        <w:rPr>
          <w:rStyle w:val="9"/>
          <w:rFonts w:asciiTheme="minorEastAsia" w:hAnsiTheme="minorEastAsia"/>
          <w:b w:val="0"/>
          <w:spacing w:val="-4"/>
          <w:sz w:val="24"/>
        </w:rPr>
        <w:t>（一）自治区下达2023年自治区特大防汛抗旱补助费预算和绩效目标情况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1.下达预算情况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2023年5月4日，自治区财政厅《关于下达2023年自治区特大防汛补助费的通知》（新财资环〔2023〕37号），下达2023年自治区特大防汛补助费项目资金500万元，用于支持各地开展抗灾抢险救灾各项工作。序号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分配地（州、市）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分配县（市）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建议分配资金（万元）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1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伊犁州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霍城县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50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察布查尔县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30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合计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80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2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喀什地区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麦盖提县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50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塔什库尔干县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30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合计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80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3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和田地区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洛浦县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40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和田县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40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合计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80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4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阿克苏地区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拜城县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50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乌什县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20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合计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70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5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克州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阿克陶县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40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阿合奇县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30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合计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70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6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塔城地区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沙湾市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50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合计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50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7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阿勒泰地区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布尔津县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50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合计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50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8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自治区本级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应急管理厅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20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总计</w:t>
      </w:r>
      <w:r>
        <w:rPr>
          <w:rStyle w:val="9"/>
          <w:rFonts w:asciiTheme="minorEastAsia" w:hAnsiTheme="minorEastAsia"/>
          <w:b w:val="0"/>
          <w:spacing w:val="-4"/>
          <w:sz w:val="24"/>
        </w:rPr>
        <w:tab/>
      </w:r>
      <w:r>
        <w:rPr>
          <w:rStyle w:val="9"/>
          <w:rFonts w:asciiTheme="minorEastAsia" w:hAnsiTheme="minorEastAsia"/>
          <w:b w:val="0"/>
          <w:spacing w:val="-4"/>
          <w:sz w:val="24"/>
        </w:rPr>
        <w:t>500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自治区下达预算资金时，对7个地（州、市）、12个县（市、区）及自治区应急管理厅分别下达了《2023年自治区特大防汛补助费区域绩效目标表》</w:t>
      </w:r>
    </w:p>
    <w:p w14:paraId="21EEEEC7">
      <w:pPr>
        <w:pStyle w:val="3"/>
        <w:numPr>
          <w:ilvl w:val="0"/>
          <w:numId w:val="1"/>
        </w:numPr>
      </w:pPr>
      <w:r>
        <w:rPr>
          <w:rFonts w:hint="eastAsia"/>
        </w:rPr>
        <w:t>绩效目标完成情况分析</w:t>
      </w:r>
    </w:p>
    <w:p w14:paraId="664AFE2F">
      <w:pPr>
        <w:pStyle w:val="3"/>
        <w:numPr>
          <w:ilvl w:val="0"/>
          <w:numId w:val="3"/>
        </w:numPr>
      </w:pPr>
      <w:r>
        <w:rPr>
          <w:rFonts w:hint="eastAsia"/>
        </w:rPr>
        <w:t>资金投入情况分析</w:t>
      </w:r>
    </w:p>
    <w:p w14:paraId="66063A0C">
      <w:pPr>
        <w:pStyle w:val="12"/>
        <w:numPr>
          <w:ilvl w:val="0"/>
          <w:numId w:val="4"/>
        </w:numPr>
        <w:spacing w:line="540" w:lineRule="exact"/>
        <w:ind w:firstLineChars="0"/>
        <w:rPr>
          <w:rStyle w:val="9"/>
          <w:rFonts w:ascii="楷体" w:hAnsi="楷体" w:eastAsia="楷体"/>
          <w:b w:val="0"/>
          <w:spacing w:val="-4"/>
          <w:sz w:val="32"/>
          <w:szCs w:val="32"/>
        </w:rPr>
      </w:pPr>
      <w:r>
        <w:rPr>
          <w:rStyle w:val="9"/>
          <w:rFonts w:hint="eastAsia" w:ascii="楷体" w:hAnsi="楷体" w:eastAsia="楷体"/>
          <w:b w:val="0"/>
          <w:spacing w:val="-4"/>
          <w:sz w:val="32"/>
          <w:szCs w:val="32"/>
        </w:rPr>
        <w:t>项目资金到位情况分析</w:t>
      </w:r>
    </w:p>
    <w:p w14:paraId="17EDCA8F">
      <w:pPr>
        <w:ind w:left="1200"/>
        <w:rPr>
          <w:rStyle w:val="9"/>
          <w:rFonts w:asciiTheme="minorEastAsia" w:hAnsiTheme="minorEastAsia"/>
          <w:b w:val="0"/>
          <w:spacing w:val="-4"/>
          <w:sz w:val="24"/>
        </w:rPr>
      </w:pPr>
      <w:r>
        <w:rPr>
          <w:rStyle w:val="9"/>
          <w:rFonts w:asciiTheme="minorEastAsia" w:hAnsiTheme="minorEastAsia"/>
          <w:b w:val="0"/>
          <w:spacing w:val="-4"/>
          <w:sz w:val="24"/>
        </w:rPr>
        <w:t>1.项目资金到位情况分析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2023年下达自治区特大防汛补助费项目预算资金共计500万元，资金到位500万元，到位率100%。</w:t>
      </w:r>
    </w:p>
    <w:p w14:paraId="18808E84">
      <w:pPr>
        <w:pStyle w:val="12"/>
        <w:numPr>
          <w:ilvl w:val="0"/>
          <w:numId w:val="4"/>
        </w:numPr>
        <w:spacing w:line="540" w:lineRule="exact"/>
        <w:ind w:firstLineChars="0"/>
        <w:rPr>
          <w:rStyle w:val="9"/>
          <w:rFonts w:ascii="楷体" w:hAnsi="楷体" w:eastAsia="楷体"/>
          <w:b w:val="0"/>
          <w:spacing w:val="-4"/>
          <w:sz w:val="32"/>
          <w:szCs w:val="32"/>
        </w:rPr>
      </w:pPr>
      <w:r>
        <w:rPr>
          <w:rStyle w:val="9"/>
          <w:rFonts w:hint="eastAsia" w:ascii="楷体" w:hAnsi="楷体" w:eastAsia="楷体"/>
          <w:b w:val="0"/>
          <w:spacing w:val="-4"/>
          <w:sz w:val="32"/>
          <w:szCs w:val="32"/>
        </w:rPr>
        <w:t>项目资金执行情况分析</w:t>
      </w:r>
    </w:p>
    <w:p w14:paraId="16E82B22">
      <w:pPr>
        <w:ind w:left="1200"/>
        <w:rPr>
          <w:rStyle w:val="9"/>
          <w:rFonts w:asciiTheme="minorEastAsia" w:hAnsiTheme="minorEastAsia"/>
          <w:b w:val="0"/>
          <w:spacing w:val="-4"/>
          <w:sz w:val="24"/>
        </w:rPr>
      </w:pPr>
      <w:r>
        <w:rPr>
          <w:rStyle w:val="9"/>
          <w:rFonts w:asciiTheme="minorEastAsia" w:hAnsiTheme="minorEastAsia"/>
          <w:b w:val="0"/>
          <w:spacing w:val="-4"/>
          <w:sz w:val="24"/>
        </w:rPr>
        <w:t>2023年，自治区特大防汛抗旱补助费项目自治区对下转移支付资金500万元，支出495.3035万元，执行进度99.06%，结余4.6965万元。各地执行情况如下：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自治区应急管理厅20万元，执行15.8万元，执行率79%，剩余4.2万元为招标结余；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阿克苏地区70万元，执行70万元，执行率100%；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克州70万元，执行70万元，执行率100%；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喀什80万元，执行80万元，执行率100%；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和田地区80万元，执行79.96万元，执行率99.95%，结余400元；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伊犁州80万元，执行80万元，执行率100%；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塔城地区50万元，执行49.5435万元，执行率99.09%，结余4565元；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阿勒泰地区50万元，执行50万元，执行率100%。</w:t>
      </w:r>
    </w:p>
    <w:p w14:paraId="63CB6E46">
      <w:pPr>
        <w:pStyle w:val="12"/>
        <w:numPr>
          <w:ilvl w:val="0"/>
          <w:numId w:val="4"/>
        </w:numPr>
        <w:spacing w:line="540" w:lineRule="exact"/>
        <w:ind w:firstLineChars="0"/>
        <w:rPr>
          <w:rStyle w:val="9"/>
          <w:rFonts w:ascii="楷体" w:hAnsi="楷体" w:eastAsia="楷体"/>
          <w:b w:val="0"/>
          <w:spacing w:val="-4"/>
          <w:sz w:val="32"/>
          <w:szCs w:val="32"/>
        </w:rPr>
      </w:pPr>
      <w:r>
        <w:rPr>
          <w:rStyle w:val="9"/>
          <w:rFonts w:hint="eastAsia" w:ascii="楷体" w:hAnsi="楷体" w:eastAsia="楷体"/>
          <w:b w:val="0"/>
          <w:spacing w:val="-4"/>
          <w:sz w:val="32"/>
          <w:szCs w:val="32"/>
        </w:rPr>
        <w:t>项目资金管理情况分析</w:t>
      </w:r>
    </w:p>
    <w:p w14:paraId="0E5252BE">
      <w:pPr>
        <w:ind w:left="1200"/>
        <w:rPr>
          <w:rStyle w:val="9"/>
          <w:rFonts w:asciiTheme="minorEastAsia" w:hAnsiTheme="minorEastAsia"/>
          <w:b w:val="0"/>
          <w:spacing w:val="-4"/>
          <w:sz w:val="24"/>
        </w:rPr>
      </w:pPr>
      <w:r>
        <w:rPr>
          <w:rStyle w:val="9"/>
          <w:rFonts w:asciiTheme="minorEastAsia" w:hAnsiTheme="minorEastAsia"/>
          <w:b w:val="0"/>
          <w:spacing w:val="-4"/>
          <w:sz w:val="24"/>
        </w:rPr>
        <w:t>（二）资金管理情况分析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根据《新疆维吾尔自治区特大防汛抗旱补助专项资金管理使用办法》（新财农〔2013〕107号）规定，各级财政、应急管理部门加强合作，共同管好、用好此项资金。自治区应急管理厅、财政厅反复要求各地严格管好用好自治区特大防汛补助费，多次指导各地规范制定采购目录，切实发挥资金效益。督促各地加快完成采购任务。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1.分配科学性。为保障资金分配规模合理、测算科学，根据2022年受灾、抗洪抢险救灾、应急响应启动及2023年洪旱趋势预测等要素，严格按照转移支付管理制度和《新疆维吾尔自治区特大防汛抗旱补助专项资金管理使用办法》等有关规定，对资金分配范围、资金额度等进行评估，不存在重复、交叉安排资金情况。同时，由相关县（市、区）根据实际需求，在资金使用范围内制定绩效目标，各地（州、市）应急管理局审核后报送应急管理厅，经应急管理厅审核汇总后报送自治区财政厅，确保资金安排量入为出、量力而行，不超出预算金额。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2.下达及时性。2023年5月4日，自治区财政厅《关于下达2023年自治区特大防汛补助费的通知》（新财资环〔2023〕37号），下达2023年自治区特大防汛补助费项目资金500万元，及时将资金及绩效目标分解下达至各地，有效完成了资金和绩效目标的分解下达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3.拨付合规性。根据《新疆维吾尔自治区特大防汛抗旱补助专项资金管理使用办法》（新财农〔2013〕107号）、财政厅《关于下达2023年自治区特大防汛补助费的通知》（新财资环〔2023〕37号）规定，经自治区财政厅审核后严格按照程序及时拨付使用，资金拨付合规，无违规将资金转入财政专户或支付到预算单位实有资金账户等问题。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4.使用规范性。资金主要用于加强防汛抗旱物资储备，提升防汛抗旱抢险救援能力，加强资金绩效目标管理等支出，严格执行各项资金支出项目、支出标准和支出程序，各项支出资金符合政策规定的使用范围，资金使用规范。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5.执行准确性。根据《新疆维吾尔自治区特大防汛抗旱补助专项资金管理使用办法》（新财农〔2013〕107号）、财政厅《关于下达2023年自治区特大防汛补助费的通知》（新财资环〔2023〕37号）规定，严格执行各项资金支出项目、支出标准和支出程序，各项支出资金符合政策，资金执行准确。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6.预算绩效管理情况。按照《中共中央国务院关于全面实施预算绩效管理的意见》《新疆维吾尔自治区特大防汛抗旱补助专项资金管理使用办法》《关于下达2023年自治区特大防汛补助费的通知》等相关文件要求，强化资金使用监管，严格执行有关财经制度，进一步加强预算绩效管理，在预算执行中做好绩效监控，预算执行完做好绩效评价，切实提高资金使用效益。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7.支出责任履行情况。通过实地调研各地受灾情况、电话实时调度资金绩效情况的方式，督促指导各地按照财政事权和支出责任划分的有关规定，足额安排资金，履行本级支出责任，资金支出责任履行良好。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（三）总体绩效目标完成情况分析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总体目标：加强防汛抗旱物资储备；提升防汛抗旱抢险救援能力；加强资金绩效目标管理。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实际完成情况：发挥资金效益，防汛抗旱物资储备数量、种类进一步增加，为提升防汛抗旱抢险救援能力、保护人民生命财产安全夯实了物资基础。通过开展资金绩效目标监控，查找了资金投入及使用中存在的问题，切实提高了资金使用效益。</w:t>
      </w:r>
    </w:p>
    <w:p w14:paraId="073CF84D"/>
    <w:p w14:paraId="490E5B11">
      <w:pPr>
        <w:pStyle w:val="3"/>
        <w:numPr>
          <w:ilvl w:val="0"/>
          <w:numId w:val="3"/>
        </w:numPr>
      </w:pPr>
      <w:r>
        <w:rPr>
          <w:rFonts w:hint="eastAsia"/>
        </w:rPr>
        <w:t>绩效目标完成情况分析</w:t>
      </w:r>
    </w:p>
    <w:p w14:paraId="46C884C0">
      <w:pPr>
        <w:pStyle w:val="12"/>
        <w:numPr>
          <w:ilvl w:val="0"/>
          <w:numId w:val="5"/>
        </w:numPr>
        <w:spacing w:line="540" w:lineRule="exact"/>
        <w:ind w:firstLineChars="0"/>
        <w:rPr>
          <w:rStyle w:val="9"/>
          <w:rFonts w:ascii="楷体" w:hAnsi="楷体" w:eastAsia="楷体"/>
          <w:b w:val="0"/>
          <w:spacing w:val="-4"/>
          <w:sz w:val="32"/>
          <w:szCs w:val="32"/>
        </w:rPr>
      </w:pPr>
      <w:r>
        <w:rPr>
          <w:rStyle w:val="9"/>
          <w:rFonts w:hint="eastAsia" w:ascii="楷体" w:hAnsi="楷体" w:eastAsia="楷体"/>
          <w:b w:val="0"/>
          <w:spacing w:val="-4"/>
          <w:sz w:val="32"/>
          <w:szCs w:val="32"/>
        </w:rPr>
        <w:t>产出指标完成情况分析</w:t>
      </w:r>
    </w:p>
    <w:p w14:paraId="159990F8">
      <w:pPr>
        <w:pStyle w:val="12"/>
        <w:numPr>
          <w:ilvl w:val="0"/>
          <w:numId w:val="6"/>
        </w:numPr>
        <w:spacing w:line="540" w:lineRule="exact"/>
        <w:ind w:firstLineChars="0"/>
        <w:rPr>
          <w:rStyle w:val="9"/>
          <w:rFonts w:ascii="楷体" w:hAnsi="楷体" w:eastAsia="楷体"/>
          <w:b w:val="0"/>
          <w:spacing w:val="-4"/>
          <w:sz w:val="30"/>
          <w:szCs w:val="30"/>
        </w:rPr>
      </w:pPr>
      <w:r>
        <w:rPr>
          <w:rStyle w:val="9"/>
          <w:rFonts w:hint="eastAsia" w:ascii="楷体" w:hAnsi="楷体" w:eastAsia="楷体"/>
          <w:b w:val="0"/>
          <w:spacing w:val="-4"/>
          <w:sz w:val="30"/>
          <w:szCs w:val="30"/>
        </w:rPr>
        <w:t>数量指标</w:t>
      </w:r>
    </w:p>
    <w:p w14:paraId="3F5B3E0E">
      <w:pPr>
        <w:ind w:left="1369" w:firstLine="60"/>
        <w:rPr>
          <w:rStyle w:val="9"/>
          <w:rFonts w:asciiTheme="minorEastAsia" w:hAnsiTheme="minorEastAsia"/>
          <w:b w:val="0"/>
          <w:spacing w:val="-4"/>
          <w:sz w:val="24"/>
        </w:rPr>
      </w:pPr>
      <w:r>
        <w:rPr>
          <w:rStyle w:val="9"/>
          <w:rFonts w:asciiTheme="minorEastAsia" w:hAnsiTheme="minorEastAsia"/>
          <w:b w:val="0"/>
          <w:spacing w:val="-4"/>
          <w:sz w:val="24"/>
        </w:rPr>
        <w:t>（1）数量指标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购买防洪铅丝网/格宾石笼（平方米）≥59500，实际完成60750，完成率102.1%，偏差率2.1%。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购买吨袋/编织袋/防洪袋（万个）≥34.5，实际完成40.52，完成率117.45%，偏差率17.45%；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购买防洪无纺布（平方米）≥30000，实际完成30000，完成率100%；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购买防洪铁丝笼/铁丝（吨）≥35.6，实际完成35.6，完成率100%；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购买防洪块石（立方米）≥1000，实际完成1100，完成率110%，偏差率10%；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购买装载机（辆）≥1，实际完成1，完成率100%；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购买抽水机/抽水泵/抽水车/潜水泵等给排水设备（台、套）≥46，实际完成46，完成率100%；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购买救生服/雨衣、雨裤、雨鞋/反光背心（件、套）≥2230，实际完成3293，完成率147.67%，偏差率47.67%；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购买发电机（台）≥19，完成19，完成率100%；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购买卫星电话/对讲机（个）≥14，完成14，完成率100%；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购买十字镐/铁锹/油锯（个）≥302，完成800，完成率264.9%，偏差率164.9%；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购买爆闪灯/手电筒、照明灯、照明车等照明设备（台、套）≥930，完成1166，完成率125.38%，偏差率25.38%；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购买帐篷、救灾担架（个）≥30，实际完成74，完成率246.67%，偏差率146.67%；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购买橡皮舟/救生船（辆）≥6，实际完成6，完成率100%；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购置安装居民饮水净化设备/变频器（个）≥4，实际完成6，完成率150%，偏差率50%；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租赁防汛抗旱机械设备（台、套）≥18，实际完成18，完成率100%。</w:t>
      </w:r>
    </w:p>
    <w:p w14:paraId="2A686F43">
      <w:pPr>
        <w:ind w:left="2100"/>
        <w:rPr>
          <w:rStyle w:val="9"/>
          <w:rFonts w:ascii="楷体" w:hAnsi="楷体" w:eastAsia="楷体"/>
          <w:b w:val="0"/>
          <w:spacing w:val="-4"/>
          <w:sz w:val="30"/>
          <w:szCs w:val="30"/>
        </w:rPr>
      </w:pPr>
    </w:p>
    <w:p w14:paraId="03811E75">
      <w:pPr>
        <w:pStyle w:val="12"/>
        <w:numPr>
          <w:ilvl w:val="0"/>
          <w:numId w:val="6"/>
        </w:numPr>
        <w:spacing w:line="540" w:lineRule="exact"/>
        <w:ind w:firstLineChars="0"/>
        <w:rPr>
          <w:rStyle w:val="9"/>
          <w:rFonts w:ascii="楷体" w:hAnsi="楷体" w:eastAsia="楷体"/>
          <w:b w:val="0"/>
          <w:spacing w:val="-4"/>
          <w:sz w:val="30"/>
          <w:szCs w:val="30"/>
        </w:rPr>
      </w:pPr>
      <w:r>
        <w:rPr>
          <w:rStyle w:val="9"/>
          <w:rFonts w:hint="eastAsia" w:ascii="楷体" w:hAnsi="楷体" w:eastAsia="楷体"/>
          <w:b w:val="0"/>
          <w:spacing w:val="-4"/>
          <w:sz w:val="30"/>
          <w:szCs w:val="30"/>
        </w:rPr>
        <w:t>质量指标</w:t>
      </w:r>
    </w:p>
    <w:p w14:paraId="0B7A1C10">
      <w:pPr>
        <w:ind w:left="1009" w:firstLine="420"/>
        <w:rPr>
          <w:rStyle w:val="9"/>
          <w:rFonts w:asciiTheme="minorEastAsia" w:hAnsiTheme="minorEastAsia"/>
          <w:b w:val="0"/>
          <w:spacing w:val="-4"/>
          <w:sz w:val="24"/>
        </w:rPr>
      </w:pPr>
      <w:r>
        <w:rPr>
          <w:rStyle w:val="9"/>
          <w:rFonts w:asciiTheme="minorEastAsia" w:hAnsiTheme="minorEastAsia"/>
          <w:b w:val="0"/>
          <w:spacing w:val="-4"/>
          <w:sz w:val="24"/>
        </w:rPr>
        <w:t>防汛抗旱设备政府采购率100%，物资均为政府采购，实际完成率100%；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设备验收合格率100%，完成采购的抗旱物资、设备均通过验收，实际完成100%，偏差率0%。</w:t>
      </w:r>
    </w:p>
    <w:p w14:paraId="66935612">
      <w:pPr>
        <w:ind w:left="1429"/>
        <w:rPr>
          <w:rStyle w:val="9"/>
          <w:rFonts w:ascii="楷体" w:hAnsi="楷体" w:eastAsia="楷体"/>
          <w:b w:val="0"/>
          <w:spacing w:val="-4"/>
          <w:sz w:val="24"/>
        </w:rPr>
      </w:pPr>
    </w:p>
    <w:p w14:paraId="3D59DC96">
      <w:pPr>
        <w:pStyle w:val="12"/>
        <w:numPr>
          <w:ilvl w:val="0"/>
          <w:numId w:val="6"/>
        </w:numPr>
        <w:spacing w:line="540" w:lineRule="exact"/>
        <w:ind w:firstLineChars="0"/>
        <w:rPr>
          <w:rStyle w:val="9"/>
          <w:rFonts w:ascii="楷体" w:hAnsi="楷体" w:eastAsia="楷体"/>
          <w:b w:val="0"/>
          <w:spacing w:val="-4"/>
          <w:sz w:val="30"/>
          <w:szCs w:val="30"/>
        </w:rPr>
      </w:pPr>
      <w:r>
        <w:rPr>
          <w:rStyle w:val="9"/>
          <w:rFonts w:hint="eastAsia" w:ascii="楷体" w:hAnsi="楷体" w:eastAsia="楷体"/>
          <w:b w:val="0"/>
          <w:spacing w:val="-4"/>
          <w:sz w:val="30"/>
          <w:szCs w:val="30"/>
        </w:rPr>
        <w:t>时效指标</w:t>
      </w:r>
    </w:p>
    <w:p w14:paraId="3B703D7C">
      <w:pPr>
        <w:ind w:left="1009" w:firstLine="420"/>
        <w:rPr>
          <w:rStyle w:val="9"/>
          <w:rFonts w:asciiTheme="minorEastAsia" w:hAnsiTheme="minorEastAsia"/>
          <w:b w:val="0"/>
          <w:spacing w:val="-4"/>
          <w:sz w:val="24"/>
        </w:rPr>
      </w:pPr>
      <w:r>
        <w:rPr>
          <w:rStyle w:val="9"/>
          <w:rFonts w:asciiTheme="minorEastAsia" w:hAnsiTheme="minorEastAsia"/>
          <w:b w:val="0"/>
          <w:spacing w:val="-4"/>
          <w:sz w:val="24"/>
        </w:rPr>
        <w:t>项目按期完成率100%，项目已按期完成，完成率100%；</w:t>
      </w:r>
    </w:p>
    <w:p w14:paraId="5BF39377">
      <w:pPr>
        <w:pStyle w:val="12"/>
        <w:spacing w:line="540" w:lineRule="exact"/>
        <w:ind w:left="2149" w:firstLine="0" w:firstLineChars="0"/>
        <w:rPr>
          <w:rStyle w:val="9"/>
          <w:rFonts w:ascii="楷体" w:hAnsi="楷体" w:eastAsia="楷体"/>
          <w:b w:val="0"/>
          <w:spacing w:val="-4"/>
          <w:sz w:val="30"/>
          <w:szCs w:val="30"/>
        </w:rPr>
      </w:pPr>
    </w:p>
    <w:p w14:paraId="2A6D18C5">
      <w:pPr>
        <w:pStyle w:val="12"/>
        <w:numPr>
          <w:ilvl w:val="0"/>
          <w:numId w:val="6"/>
        </w:numPr>
        <w:spacing w:line="540" w:lineRule="exact"/>
        <w:ind w:firstLineChars="0"/>
        <w:rPr>
          <w:rStyle w:val="9"/>
          <w:rFonts w:ascii="楷体" w:hAnsi="楷体" w:eastAsia="楷体"/>
          <w:b w:val="0"/>
          <w:spacing w:val="-4"/>
          <w:sz w:val="30"/>
          <w:szCs w:val="30"/>
        </w:rPr>
      </w:pPr>
      <w:r>
        <w:rPr>
          <w:rStyle w:val="9"/>
          <w:rFonts w:hint="eastAsia" w:ascii="楷体" w:hAnsi="楷体" w:eastAsia="楷体"/>
          <w:b w:val="0"/>
          <w:spacing w:val="-4"/>
          <w:sz w:val="30"/>
          <w:szCs w:val="30"/>
        </w:rPr>
        <w:t>成本指标</w:t>
      </w:r>
    </w:p>
    <w:p w14:paraId="365BFD8E">
      <w:pPr>
        <w:ind w:left="1009" w:firstLine="420"/>
        <w:rPr>
          <w:rStyle w:val="9"/>
          <w:rFonts w:asciiTheme="minorEastAsia" w:hAnsiTheme="minorEastAsia"/>
          <w:b w:val="0"/>
          <w:spacing w:val="-4"/>
          <w:sz w:val="24"/>
        </w:rPr>
      </w:pPr>
      <w:r>
        <w:rPr>
          <w:rStyle w:val="9"/>
          <w:rFonts w:asciiTheme="minorEastAsia" w:hAnsiTheme="minorEastAsia"/>
          <w:b w:val="0"/>
          <w:spacing w:val="-4"/>
          <w:sz w:val="24"/>
        </w:rPr>
        <w:t>项目资金总额≤500万元，实际完成495.3035万元，完成率100%；</w:t>
      </w:r>
    </w:p>
    <w:p w14:paraId="021B0F13">
      <w:pPr>
        <w:pStyle w:val="12"/>
        <w:spacing w:line="540" w:lineRule="exact"/>
        <w:ind w:left="2149" w:firstLine="0" w:firstLineChars="0"/>
        <w:rPr>
          <w:rStyle w:val="9"/>
          <w:rFonts w:ascii="楷体" w:hAnsi="楷体" w:eastAsia="楷体"/>
          <w:b w:val="0"/>
          <w:spacing w:val="-4"/>
          <w:sz w:val="30"/>
          <w:szCs w:val="30"/>
        </w:rPr>
      </w:pPr>
    </w:p>
    <w:p w14:paraId="631E0140">
      <w:pPr>
        <w:pStyle w:val="12"/>
        <w:numPr>
          <w:ilvl w:val="0"/>
          <w:numId w:val="5"/>
        </w:numPr>
        <w:spacing w:line="540" w:lineRule="exact"/>
        <w:ind w:firstLineChars="0"/>
        <w:rPr>
          <w:rStyle w:val="9"/>
          <w:rFonts w:ascii="楷体" w:hAnsi="楷体" w:eastAsia="楷体"/>
          <w:b w:val="0"/>
          <w:spacing w:val="-4"/>
          <w:sz w:val="32"/>
          <w:szCs w:val="32"/>
        </w:rPr>
      </w:pPr>
      <w:r>
        <w:rPr>
          <w:rStyle w:val="9"/>
          <w:rFonts w:hint="eastAsia" w:ascii="楷体" w:hAnsi="楷体" w:eastAsia="楷体"/>
          <w:b w:val="0"/>
          <w:spacing w:val="-4"/>
          <w:sz w:val="32"/>
          <w:szCs w:val="32"/>
        </w:rPr>
        <w:t>效益指标完成情况分析</w:t>
      </w:r>
    </w:p>
    <w:p w14:paraId="1122DAAF">
      <w:pPr>
        <w:pStyle w:val="12"/>
        <w:numPr>
          <w:ilvl w:val="0"/>
          <w:numId w:val="7"/>
        </w:numPr>
        <w:spacing w:line="540" w:lineRule="exact"/>
        <w:ind w:firstLineChars="0"/>
        <w:rPr>
          <w:rStyle w:val="9"/>
          <w:rFonts w:ascii="楷体" w:hAnsi="楷体" w:eastAsia="楷体"/>
          <w:b w:val="0"/>
          <w:spacing w:val="-4"/>
          <w:sz w:val="30"/>
          <w:szCs w:val="30"/>
        </w:rPr>
      </w:pPr>
      <w:r>
        <w:rPr>
          <w:rStyle w:val="9"/>
          <w:rFonts w:hint="eastAsia" w:ascii="楷体" w:hAnsi="楷体" w:eastAsia="楷体"/>
          <w:b w:val="0"/>
          <w:spacing w:val="-4"/>
          <w:sz w:val="30"/>
          <w:szCs w:val="30"/>
        </w:rPr>
        <w:t>经济效益</w:t>
      </w:r>
    </w:p>
    <w:p w14:paraId="012C1B4F">
      <w:pPr>
        <w:ind w:left="1009" w:firstLine="420"/>
        <w:rPr>
          <w:rStyle w:val="9"/>
          <w:rFonts w:ascii="楷体" w:hAnsi="楷体" w:eastAsia="楷体"/>
          <w:b w:val="0"/>
          <w:spacing w:val="-4"/>
          <w:sz w:val="24"/>
        </w:rPr>
      </w:pPr>
      <w:r>
        <w:rPr>
          <w:rStyle w:val="9"/>
          <w:rFonts w:asciiTheme="minorEastAsia" w:hAnsiTheme="minorEastAsia"/>
          <w:b w:val="0"/>
          <w:spacing w:val="-4"/>
          <w:sz w:val="24"/>
        </w:rPr>
        <w:t>绩效目标未设定经济效益指标。</w:t>
      </w:r>
    </w:p>
    <w:p w14:paraId="14204DDD">
      <w:pPr>
        <w:rPr>
          <w:rStyle w:val="9"/>
          <w:rFonts w:ascii="楷体" w:hAnsi="楷体" w:eastAsia="楷体"/>
          <w:b w:val="0"/>
          <w:spacing w:val="-4"/>
          <w:sz w:val="30"/>
          <w:szCs w:val="30"/>
        </w:rPr>
      </w:pPr>
    </w:p>
    <w:p w14:paraId="3657D88D">
      <w:pPr>
        <w:pStyle w:val="12"/>
        <w:numPr>
          <w:ilvl w:val="0"/>
          <w:numId w:val="7"/>
        </w:numPr>
        <w:spacing w:line="540" w:lineRule="exact"/>
        <w:ind w:firstLineChars="0"/>
        <w:rPr>
          <w:rStyle w:val="9"/>
          <w:rFonts w:ascii="楷体" w:hAnsi="楷体" w:eastAsia="楷体"/>
          <w:b w:val="0"/>
          <w:spacing w:val="-4"/>
          <w:sz w:val="30"/>
          <w:szCs w:val="30"/>
        </w:rPr>
      </w:pPr>
      <w:r>
        <w:rPr>
          <w:rStyle w:val="9"/>
          <w:rFonts w:hint="eastAsia" w:ascii="楷体" w:hAnsi="楷体" w:eastAsia="楷体"/>
          <w:b w:val="0"/>
          <w:spacing w:val="-4"/>
          <w:sz w:val="30"/>
          <w:szCs w:val="30"/>
        </w:rPr>
        <w:t>社会效益</w:t>
      </w:r>
    </w:p>
    <w:p w14:paraId="631B6037">
      <w:pPr>
        <w:ind w:left="1009" w:firstLine="420"/>
        <w:rPr>
          <w:rStyle w:val="9"/>
          <w:rFonts w:asciiTheme="minorEastAsia" w:hAnsiTheme="minorEastAsia"/>
          <w:b w:val="0"/>
          <w:spacing w:val="-4"/>
          <w:sz w:val="24"/>
        </w:rPr>
      </w:pPr>
      <w:r>
        <w:rPr>
          <w:rStyle w:val="9"/>
          <w:rFonts w:asciiTheme="minorEastAsia" w:hAnsiTheme="minorEastAsia"/>
          <w:b w:val="0"/>
          <w:spacing w:val="-4"/>
          <w:sz w:val="24"/>
        </w:rPr>
        <w:t>防汛抗旱救灾社会综合效益，指标值为显著，实际完成100%，通过及时支持地（州、市）添置防汛抗旱抢险救灾设备、物资等，着力提升防汛抢险能力，减少灾害损失。完成率100%，偏差率0%。</w:t>
      </w:r>
    </w:p>
    <w:p w14:paraId="2C470EF9">
      <w:pPr>
        <w:rPr>
          <w:rStyle w:val="9"/>
          <w:rFonts w:ascii="楷体" w:hAnsi="楷体" w:eastAsia="楷体"/>
          <w:b w:val="0"/>
          <w:spacing w:val="-4"/>
          <w:sz w:val="30"/>
          <w:szCs w:val="30"/>
        </w:rPr>
      </w:pPr>
    </w:p>
    <w:p w14:paraId="3D163D00">
      <w:pPr>
        <w:pStyle w:val="12"/>
        <w:numPr>
          <w:ilvl w:val="0"/>
          <w:numId w:val="7"/>
        </w:numPr>
        <w:spacing w:line="540" w:lineRule="exact"/>
        <w:ind w:firstLineChars="0"/>
        <w:rPr>
          <w:rStyle w:val="9"/>
          <w:rFonts w:ascii="楷体" w:hAnsi="楷体" w:eastAsia="楷体"/>
          <w:b w:val="0"/>
          <w:spacing w:val="-4"/>
          <w:sz w:val="30"/>
          <w:szCs w:val="30"/>
        </w:rPr>
      </w:pPr>
      <w:r>
        <w:rPr>
          <w:rStyle w:val="9"/>
          <w:rFonts w:hint="eastAsia" w:ascii="楷体" w:hAnsi="楷体" w:eastAsia="楷体"/>
          <w:b w:val="0"/>
          <w:spacing w:val="-4"/>
          <w:sz w:val="30"/>
          <w:szCs w:val="30"/>
        </w:rPr>
        <w:t>生态效益</w:t>
      </w:r>
    </w:p>
    <w:p w14:paraId="192EFAF9">
      <w:pPr>
        <w:ind w:left="1009" w:firstLine="420"/>
        <w:rPr>
          <w:rStyle w:val="9"/>
          <w:rFonts w:asciiTheme="minorEastAsia" w:hAnsiTheme="minorEastAsia"/>
          <w:b w:val="0"/>
          <w:spacing w:val="-4"/>
          <w:sz w:val="24"/>
        </w:rPr>
      </w:pPr>
      <w:r>
        <w:rPr>
          <w:rStyle w:val="9"/>
          <w:rFonts w:asciiTheme="minorEastAsia" w:hAnsiTheme="minorEastAsia"/>
          <w:b w:val="0"/>
          <w:spacing w:val="-4"/>
          <w:sz w:val="24"/>
        </w:rPr>
        <w:t>绩效目标未设定生态效益指标。</w:t>
      </w:r>
    </w:p>
    <w:p w14:paraId="3A5EF15B">
      <w:pPr>
        <w:rPr>
          <w:rStyle w:val="9"/>
          <w:rFonts w:ascii="楷体" w:hAnsi="楷体" w:eastAsia="楷体"/>
          <w:b w:val="0"/>
          <w:spacing w:val="-4"/>
          <w:sz w:val="30"/>
          <w:szCs w:val="30"/>
        </w:rPr>
      </w:pPr>
    </w:p>
    <w:p w14:paraId="675E1429">
      <w:pPr>
        <w:pStyle w:val="12"/>
        <w:numPr>
          <w:ilvl w:val="0"/>
          <w:numId w:val="7"/>
        </w:numPr>
        <w:spacing w:line="540" w:lineRule="exact"/>
        <w:ind w:firstLineChars="0"/>
        <w:rPr>
          <w:rStyle w:val="9"/>
          <w:rFonts w:ascii="楷体" w:hAnsi="楷体" w:eastAsia="楷体"/>
          <w:b w:val="0"/>
          <w:spacing w:val="-4"/>
          <w:sz w:val="30"/>
          <w:szCs w:val="30"/>
        </w:rPr>
      </w:pPr>
      <w:r>
        <w:rPr>
          <w:rStyle w:val="9"/>
          <w:rFonts w:hint="eastAsia" w:ascii="楷体" w:hAnsi="楷体" w:eastAsia="楷体"/>
          <w:b w:val="0"/>
          <w:spacing w:val="-4"/>
          <w:sz w:val="30"/>
          <w:szCs w:val="30"/>
        </w:rPr>
        <w:t>可持续影响</w:t>
      </w:r>
    </w:p>
    <w:p w14:paraId="1F385C83">
      <w:pPr>
        <w:ind w:left="1009" w:firstLine="420"/>
        <w:rPr>
          <w:rStyle w:val="9"/>
          <w:rFonts w:asciiTheme="minorEastAsia" w:hAnsiTheme="minorEastAsia"/>
          <w:b w:val="0"/>
          <w:spacing w:val="-4"/>
          <w:sz w:val="24"/>
        </w:rPr>
      </w:pPr>
      <w:r>
        <w:rPr>
          <w:rStyle w:val="9"/>
          <w:rFonts w:asciiTheme="minorEastAsia" w:hAnsiTheme="minorEastAsia"/>
          <w:b w:val="0"/>
          <w:spacing w:val="-4"/>
          <w:sz w:val="24"/>
        </w:rPr>
        <w:t>绩效目标未设定可持续影响指标</w:t>
      </w:r>
    </w:p>
    <w:p w14:paraId="5041CB7B">
      <w:pPr>
        <w:rPr>
          <w:rStyle w:val="9"/>
          <w:rFonts w:ascii="楷体" w:hAnsi="楷体" w:eastAsia="楷体"/>
          <w:b w:val="0"/>
          <w:spacing w:val="-4"/>
          <w:sz w:val="30"/>
          <w:szCs w:val="30"/>
        </w:rPr>
      </w:pPr>
    </w:p>
    <w:p w14:paraId="072808E0">
      <w:pPr>
        <w:pStyle w:val="12"/>
        <w:numPr>
          <w:ilvl w:val="0"/>
          <w:numId w:val="5"/>
        </w:numPr>
        <w:spacing w:line="540" w:lineRule="exact"/>
        <w:ind w:firstLineChars="0"/>
        <w:rPr>
          <w:rStyle w:val="9"/>
          <w:rFonts w:ascii="楷体" w:hAnsi="楷体" w:eastAsia="楷体"/>
          <w:b w:val="0"/>
          <w:spacing w:val="-4"/>
          <w:sz w:val="32"/>
          <w:szCs w:val="32"/>
        </w:rPr>
      </w:pPr>
      <w:r>
        <w:rPr>
          <w:rStyle w:val="9"/>
          <w:rFonts w:hint="eastAsia" w:ascii="楷体" w:hAnsi="楷体" w:eastAsia="楷体"/>
          <w:b w:val="0"/>
          <w:spacing w:val="-4"/>
          <w:sz w:val="32"/>
          <w:szCs w:val="32"/>
        </w:rPr>
        <w:t>满意度指标完成情况分析</w:t>
      </w:r>
    </w:p>
    <w:p w14:paraId="25E92F07">
      <w:pPr>
        <w:ind w:left="840" w:firstLine="420"/>
        <w:rPr>
          <w:rStyle w:val="9"/>
          <w:rFonts w:asciiTheme="minorEastAsia" w:hAnsiTheme="minorEastAsia"/>
          <w:b w:val="0"/>
          <w:spacing w:val="-4"/>
          <w:sz w:val="24"/>
        </w:rPr>
      </w:pPr>
      <w:r>
        <w:rPr>
          <w:rStyle w:val="9"/>
          <w:rFonts w:asciiTheme="minorEastAsia" w:hAnsiTheme="minorEastAsia"/>
          <w:b w:val="0"/>
          <w:spacing w:val="-4"/>
          <w:sz w:val="24"/>
        </w:rPr>
        <w:t>受灾群众满意率≥90%，实际完成率100%。</w:t>
      </w:r>
    </w:p>
    <w:p w14:paraId="7DBDD51D">
      <w:pPr>
        <w:rPr>
          <w:rStyle w:val="9"/>
          <w:rFonts w:ascii="楷体" w:hAnsi="楷体" w:eastAsia="楷体"/>
          <w:b w:val="0"/>
          <w:spacing w:val="-4"/>
          <w:sz w:val="32"/>
          <w:szCs w:val="32"/>
        </w:rPr>
      </w:pPr>
    </w:p>
    <w:p w14:paraId="76A5B4DD"/>
    <w:p w14:paraId="4E1881E3">
      <w:pPr>
        <w:pStyle w:val="3"/>
        <w:numPr>
          <w:ilvl w:val="0"/>
          <w:numId w:val="1"/>
        </w:numPr>
      </w:pPr>
      <w:r>
        <w:rPr>
          <w:rFonts w:hint="eastAsia"/>
        </w:rPr>
        <w:t>偏离绩效目标的原因和下一步改进措施</w:t>
      </w:r>
    </w:p>
    <w:p w14:paraId="1D3BC832">
      <w:pPr>
        <w:ind w:firstLine="420"/>
        <w:rPr>
          <w:rStyle w:val="9"/>
          <w:rFonts w:asciiTheme="minorEastAsia" w:hAnsiTheme="minorEastAsia"/>
          <w:b w:val="0"/>
          <w:spacing w:val="-4"/>
          <w:sz w:val="24"/>
        </w:rPr>
      </w:pPr>
      <w:r>
        <w:rPr>
          <w:rStyle w:val="9"/>
          <w:rFonts w:asciiTheme="minorEastAsia" w:hAnsiTheme="minorEastAsia"/>
          <w:b w:val="0"/>
          <w:spacing w:val="-4"/>
          <w:sz w:val="24"/>
        </w:rPr>
        <w:t>（一）偏离的绩效目标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1.完成率超出30%及以上指标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（1）购买救生服/雨衣、雨裤、雨鞋/反光背心（件、套）≥2230，实际完成3293。阿勒泰地区布尔津县预算采购雨衣、雨鞋、救生衣100件（双），实际采购时价格低于绩效目标制定时询价，为提高资金利用率，结合使用实际，实际采购2060件（双）；霍城县预算采购雨衣雨鞋100套，实际采购时价格低于绩效目标制定时询价，为提高资金利用率，结合使用实际，实际采购103套。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（2）购买十字镐/铁锹/油锯（个）≥302，完成1102，完成率364.9%，偏差率264.9%。阿勒泰地区布尔津县绩效目标无购置铁锹，实际采购时为提高资金利用率，结合使用实际，实际采购800把铁锹。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（3）购买帐篷、救灾担架（个）≥30，实际完成74。一是核算总体绩效目标时，少算了沙湾市救灾指挥帐篷2顶，和田洛浦县救灾帐篷2顶。二是阿勒泰布尔津县绩效目标无购置帐篷，实际采购时为提高资金利用率，结合使用实际，实际采购40顶帐篷。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（4）购置安装居民饮水净化设备/变频器（个）≥4，实际完成6，完成率150%，偏差率50%。阿勒泰地区原定绩效目标为购置安装居民饮水净化设备≥3套，实际采购时价格低于绩效目标制定时询价，为提高资金利用率，结合使用实际，实际购置5套。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（二）下一步改进措施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1.项目实施过程中存在不足。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（一）项目实施前期论证不够充分。部分县市在防汛抗旱物资设备采购前期对防汛资金使用论证不充分，在实际采购时价格低于绩效目标制定时询价，在年中未及时根据实际情况对绩效目标进行调整，导致部分物资采购超出设定指标30%以上。如：阿勒泰地区布尔津县绩效目标无购置铁锹、帐篷，实际采购时，在完成原定绩效目标后，存在较多资金结余，解释实际需要，采购了铁锹、帐篷，同时，预算采购雨衣、雨鞋、救生衣100件（双），实际采购2060件（双）；克州阿克陶县预算采购编织袋5000条，实际采购62400条等。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（二）绩效目标核算存在错误。业务人员在根据各地（州、市）、县（市、区）绩效目标表核算自治区总体绩效目标表时，少算了沙湾市救灾指挥帐篷2顶，和田洛浦县救灾帐篷2顶，导致总体绩效目标与实际执行出现偏差。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2.下一步工作实施改进措施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（一）加强对预算绩效目标设置的培训工作。指导各地在设定绩效目标时根据项目特点，从反映和考核项目绩效目标与项目实施的相符情况着手，便于日后绩效考核工作的操作与开展。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（二）加强业务培训。指导各地在报送绩效目标前开展充分调研、询价、论证等前期工作，科学、合理制定绩效目标值，进一步掌握绩效管理流程，提高业务人员绩效管理工作能力和水平。如使用过程中出现实际需求与绩效目标不符，及时申请调整绩效目标。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（三）进一步加大项目资金预算执行力度。及时督促各地加快物资采购进度和预算执行力度，充分保障财政资金使用效益达到最大化，做好防汛抗旱物资设备的采购和储备，夯实保障人民群众生命财产基础，提高防汛抗旱能力。</w:t>
      </w:r>
    </w:p>
    <w:p w14:paraId="197BDAC4"/>
    <w:p w14:paraId="3F84584F">
      <w:pPr>
        <w:pStyle w:val="3"/>
        <w:numPr>
          <w:ilvl w:val="0"/>
          <w:numId w:val="1"/>
        </w:numPr>
      </w:pPr>
      <w:r>
        <w:rPr>
          <w:rFonts w:hint="eastAsia"/>
        </w:rPr>
        <w:t>绩效自评结果拟应用和公开情况</w:t>
      </w:r>
    </w:p>
    <w:p w14:paraId="533CB700">
      <w:pPr>
        <w:ind w:firstLine="420"/>
        <w:rPr>
          <w:rStyle w:val="9"/>
          <w:rFonts w:asciiTheme="minorEastAsia" w:hAnsiTheme="minorEastAsia"/>
          <w:b w:val="0"/>
          <w:spacing w:val="-4"/>
          <w:sz w:val="24"/>
        </w:rPr>
      </w:pPr>
      <w:r>
        <w:rPr>
          <w:rStyle w:val="9"/>
          <w:rFonts w:asciiTheme="minorEastAsia" w:hAnsiTheme="minorEastAsia"/>
          <w:b w:val="0"/>
          <w:spacing w:val="-4"/>
          <w:sz w:val="24"/>
        </w:rPr>
        <w:t>（一）按照财政部《项目支出绩效评价管理办法》（财预〔2020〕10号）规定，单位自评标准是：预算执行10分、产出指标50分、效益指标30分、服务对象满意度指标10分。经自评，自治区应急管理厅2023年度自治区特大防汛补助费绩效自评得分为99.89分，其中：预算执行9.91分、产出指标49.98分、效益指标30分、服务对象满意度指标10分，自评结果为“优”。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（二）在绩效自评中，发现项目实施前期论证不够充分、绩效目标核算存在错误等问题，针对问题提出以下改进措施：一是加强对预算绩效目标设置的培训工作。指导各地在设定绩效目标时根据项目特点，从反映和考核项目绩效目标与项目实施的相符情况着手，便于日后绩效考核工作的操作与开展。二是加强业务培训。指导各地在报送绩效目标前开展充分调研、询价、论证等前期工作，科学、合理制定绩效目标值，进一步掌握绩效管理流程，提高业务人员绩效管理工作能力和水平。如使用过程中出现实际需求与绩效目标不符，及时申请调整绩效目标。三是进一步加大项目资金预算执行力度。及时督促各地加快物资采购进度和预算执行力度，充分保障财政资金使用效益达到最大化，做好防汛抗旱物资设备的采购和储备，夯实保障人民群众生命财产基础，提高防汛抗旱能力。</w:t>
      </w:r>
      <w:r>
        <w:rPr>
          <w:rStyle w:val="9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9"/>
          <w:rFonts w:asciiTheme="minorEastAsia" w:hAnsiTheme="minorEastAsia"/>
          <w:b w:val="0"/>
          <w:spacing w:val="-4"/>
          <w:sz w:val="24"/>
        </w:rPr>
        <w:t>评价结果将在自治区应急管理厅门户网站进行公示公开，广泛接受社会监督。</w:t>
      </w:r>
    </w:p>
    <w:p w14:paraId="5B454ED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45660"/>
    <w:multiLevelType w:val="multilevel"/>
    <w:tmpl w:val="07945660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49" w:hanging="420"/>
      </w:pPr>
    </w:lvl>
    <w:lvl w:ilvl="2" w:tentative="0">
      <w:start w:val="1"/>
      <w:numFmt w:val="lowerRoman"/>
      <w:lvlText w:val="%3."/>
      <w:lvlJc w:val="right"/>
      <w:pPr>
        <w:ind w:left="1969" w:hanging="420"/>
      </w:pPr>
    </w:lvl>
    <w:lvl w:ilvl="3" w:tentative="0">
      <w:start w:val="1"/>
      <w:numFmt w:val="decimal"/>
      <w:lvlText w:val="%4."/>
      <w:lvlJc w:val="left"/>
      <w:pPr>
        <w:ind w:left="2389" w:hanging="420"/>
      </w:pPr>
    </w:lvl>
    <w:lvl w:ilvl="4" w:tentative="0">
      <w:start w:val="1"/>
      <w:numFmt w:val="lowerLetter"/>
      <w:lvlText w:val="%5)"/>
      <w:lvlJc w:val="left"/>
      <w:pPr>
        <w:ind w:left="2809" w:hanging="420"/>
      </w:pPr>
    </w:lvl>
    <w:lvl w:ilvl="5" w:tentative="0">
      <w:start w:val="1"/>
      <w:numFmt w:val="lowerRoman"/>
      <w:lvlText w:val="%6."/>
      <w:lvlJc w:val="right"/>
      <w:pPr>
        <w:ind w:left="3229" w:hanging="420"/>
      </w:pPr>
    </w:lvl>
    <w:lvl w:ilvl="6" w:tentative="0">
      <w:start w:val="1"/>
      <w:numFmt w:val="decimal"/>
      <w:lvlText w:val="%7."/>
      <w:lvlJc w:val="left"/>
      <w:pPr>
        <w:ind w:left="3649" w:hanging="420"/>
      </w:pPr>
    </w:lvl>
    <w:lvl w:ilvl="7" w:tentative="0">
      <w:start w:val="1"/>
      <w:numFmt w:val="lowerLetter"/>
      <w:lvlText w:val="%8)"/>
      <w:lvlJc w:val="left"/>
      <w:pPr>
        <w:ind w:left="4069" w:hanging="420"/>
      </w:pPr>
    </w:lvl>
    <w:lvl w:ilvl="8" w:tentative="0">
      <w:start w:val="1"/>
      <w:numFmt w:val="lowerRoman"/>
      <w:lvlText w:val="%9."/>
      <w:lvlJc w:val="right"/>
      <w:pPr>
        <w:ind w:left="4489" w:hanging="420"/>
      </w:pPr>
    </w:lvl>
  </w:abstractNum>
  <w:abstractNum w:abstractNumId="1">
    <w:nsid w:val="13765CB3"/>
    <w:multiLevelType w:val="multilevel"/>
    <w:tmpl w:val="13765CB3"/>
    <w:lvl w:ilvl="0" w:tentative="0">
      <w:start w:val="1"/>
      <w:numFmt w:val="japaneseCounting"/>
      <w:lvlText w:val="（%1）"/>
      <w:lvlJc w:val="left"/>
      <w:pPr>
        <w:ind w:left="15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3D7DED0"/>
    <w:multiLevelType w:val="singleLevel"/>
    <w:tmpl w:val="23D7DED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34A137FE"/>
    <w:multiLevelType w:val="multilevel"/>
    <w:tmpl w:val="34A137FE"/>
    <w:lvl w:ilvl="0" w:tentative="0">
      <w:start w:val="1"/>
      <w:numFmt w:val="decimal"/>
      <w:lvlText w:val="(%1)"/>
      <w:lvlJc w:val="left"/>
      <w:pPr>
        <w:ind w:left="2149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2269" w:hanging="420"/>
      </w:pPr>
    </w:lvl>
    <w:lvl w:ilvl="2" w:tentative="0">
      <w:start w:val="1"/>
      <w:numFmt w:val="lowerRoman"/>
      <w:lvlText w:val="%3."/>
      <w:lvlJc w:val="right"/>
      <w:pPr>
        <w:ind w:left="2689" w:hanging="420"/>
      </w:pPr>
    </w:lvl>
    <w:lvl w:ilvl="3" w:tentative="0">
      <w:start w:val="1"/>
      <w:numFmt w:val="decimal"/>
      <w:lvlText w:val="%4."/>
      <w:lvlJc w:val="left"/>
      <w:pPr>
        <w:ind w:left="3109" w:hanging="420"/>
      </w:pPr>
    </w:lvl>
    <w:lvl w:ilvl="4" w:tentative="0">
      <w:start w:val="1"/>
      <w:numFmt w:val="lowerLetter"/>
      <w:lvlText w:val="%5)"/>
      <w:lvlJc w:val="left"/>
      <w:pPr>
        <w:ind w:left="3529" w:hanging="420"/>
      </w:pPr>
    </w:lvl>
    <w:lvl w:ilvl="5" w:tentative="0">
      <w:start w:val="1"/>
      <w:numFmt w:val="lowerRoman"/>
      <w:lvlText w:val="%6."/>
      <w:lvlJc w:val="right"/>
      <w:pPr>
        <w:ind w:left="3949" w:hanging="420"/>
      </w:pPr>
    </w:lvl>
    <w:lvl w:ilvl="6" w:tentative="0">
      <w:start w:val="1"/>
      <w:numFmt w:val="decimal"/>
      <w:lvlText w:val="%7."/>
      <w:lvlJc w:val="left"/>
      <w:pPr>
        <w:ind w:left="4369" w:hanging="420"/>
      </w:pPr>
    </w:lvl>
    <w:lvl w:ilvl="7" w:tentative="0">
      <w:start w:val="1"/>
      <w:numFmt w:val="lowerLetter"/>
      <w:lvlText w:val="%8)"/>
      <w:lvlJc w:val="left"/>
      <w:pPr>
        <w:ind w:left="4789" w:hanging="420"/>
      </w:pPr>
    </w:lvl>
    <w:lvl w:ilvl="8" w:tentative="0">
      <w:start w:val="1"/>
      <w:numFmt w:val="lowerRoman"/>
      <w:lvlText w:val="%9."/>
      <w:lvlJc w:val="right"/>
      <w:pPr>
        <w:ind w:left="5209" w:hanging="420"/>
      </w:pPr>
    </w:lvl>
  </w:abstractNum>
  <w:abstractNum w:abstractNumId="4">
    <w:nsid w:val="35BD0701"/>
    <w:multiLevelType w:val="singleLevel"/>
    <w:tmpl w:val="35BD07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3E7004BF"/>
    <w:multiLevelType w:val="multilevel"/>
    <w:tmpl w:val="3E7004BF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49" w:hanging="420"/>
      </w:pPr>
    </w:lvl>
    <w:lvl w:ilvl="2" w:tentative="0">
      <w:start w:val="1"/>
      <w:numFmt w:val="lowerRoman"/>
      <w:lvlText w:val="%3."/>
      <w:lvlJc w:val="right"/>
      <w:pPr>
        <w:ind w:left="1969" w:hanging="420"/>
      </w:pPr>
    </w:lvl>
    <w:lvl w:ilvl="3" w:tentative="0">
      <w:start w:val="1"/>
      <w:numFmt w:val="decimal"/>
      <w:lvlText w:val="%4."/>
      <w:lvlJc w:val="left"/>
      <w:pPr>
        <w:ind w:left="2389" w:hanging="420"/>
      </w:pPr>
    </w:lvl>
    <w:lvl w:ilvl="4" w:tentative="0">
      <w:start w:val="1"/>
      <w:numFmt w:val="lowerLetter"/>
      <w:lvlText w:val="%5)"/>
      <w:lvlJc w:val="left"/>
      <w:pPr>
        <w:ind w:left="2809" w:hanging="420"/>
      </w:pPr>
    </w:lvl>
    <w:lvl w:ilvl="5" w:tentative="0">
      <w:start w:val="1"/>
      <w:numFmt w:val="lowerRoman"/>
      <w:lvlText w:val="%6."/>
      <w:lvlJc w:val="right"/>
      <w:pPr>
        <w:ind w:left="3229" w:hanging="420"/>
      </w:pPr>
    </w:lvl>
    <w:lvl w:ilvl="6" w:tentative="0">
      <w:start w:val="1"/>
      <w:numFmt w:val="decimal"/>
      <w:lvlText w:val="%7."/>
      <w:lvlJc w:val="left"/>
      <w:pPr>
        <w:ind w:left="3649" w:hanging="420"/>
      </w:pPr>
    </w:lvl>
    <w:lvl w:ilvl="7" w:tentative="0">
      <w:start w:val="1"/>
      <w:numFmt w:val="lowerLetter"/>
      <w:lvlText w:val="%8)"/>
      <w:lvlJc w:val="left"/>
      <w:pPr>
        <w:ind w:left="4069" w:hanging="420"/>
      </w:pPr>
    </w:lvl>
    <w:lvl w:ilvl="8" w:tentative="0">
      <w:start w:val="1"/>
      <w:numFmt w:val="lowerRoman"/>
      <w:lvlText w:val="%9."/>
      <w:lvlJc w:val="right"/>
      <w:pPr>
        <w:ind w:left="4489" w:hanging="420"/>
      </w:pPr>
    </w:lvl>
  </w:abstractNum>
  <w:abstractNum w:abstractNumId="6">
    <w:nsid w:val="53995E40"/>
    <w:multiLevelType w:val="multilevel"/>
    <w:tmpl w:val="53995E40"/>
    <w:lvl w:ilvl="0" w:tentative="0">
      <w:start w:val="1"/>
      <w:numFmt w:val="decimal"/>
      <w:lvlText w:val="(%1)"/>
      <w:lvlJc w:val="left"/>
      <w:pPr>
        <w:ind w:left="2081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2201" w:hanging="420"/>
      </w:pPr>
    </w:lvl>
    <w:lvl w:ilvl="2" w:tentative="0">
      <w:start w:val="1"/>
      <w:numFmt w:val="lowerRoman"/>
      <w:lvlText w:val="%3."/>
      <w:lvlJc w:val="right"/>
      <w:pPr>
        <w:ind w:left="2621" w:hanging="420"/>
      </w:pPr>
    </w:lvl>
    <w:lvl w:ilvl="3" w:tentative="0">
      <w:start w:val="1"/>
      <w:numFmt w:val="decimal"/>
      <w:lvlText w:val="%4."/>
      <w:lvlJc w:val="left"/>
      <w:pPr>
        <w:ind w:left="3041" w:hanging="420"/>
      </w:pPr>
    </w:lvl>
    <w:lvl w:ilvl="4" w:tentative="0">
      <w:start w:val="1"/>
      <w:numFmt w:val="lowerLetter"/>
      <w:lvlText w:val="%5)"/>
      <w:lvlJc w:val="left"/>
      <w:pPr>
        <w:ind w:left="3461" w:hanging="420"/>
      </w:pPr>
    </w:lvl>
    <w:lvl w:ilvl="5" w:tentative="0">
      <w:start w:val="1"/>
      <w:numFmt w:val="lowerRoman"/>
      <w:lvlText w:val="%6."/>
      <w:lvlJc w:val="right"/>
      <w:pPr>
        <w:ind w:left="3881" w:hanging="420"/>
      </w:pPr>
    </w:lvl>
    <w:lvl w:ilvl="6" w:tentative="0">
      <w:start w:val="1"/>
      <w:numFmt w:val="decimal"/>
      <w:lvlText w:val="%7."/>
      <w:lvlJc w:val="left"/>
      <w:pPr>
        <w:ind w:left="4301" w:hanging="420"/>
      </w:pPr>
    </w:lvl>
    <w:lvl w:ilvl="7" w:tentative="0">
      <w:start w:val="1"/>
      <w:numFmt w:val="lowerLetter"/>
      <w:lvlText w:val="%8)"/>
      <w:lvlJc w:val="left"/>
      <w:pPr>
        <w:ind w:left="4721" w:hanging="420"/>
      </w:pPr>
    </w:lvl>
    <w:lvl w:ilvl="8" w:tentative="0">
      <w:start w:val="1"/>
      <w:numFmt w:val="lowerRoman"/>
      <w:lvlText w:val="%9."/>
      <w:lvlJc w:val="right"/>
      <w:pPr>
        <w:ind w:left="5141" w:hanging="42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xZTI3ODM4ZmVjOGE5NDFiYmE3OTRiMjQ5OTEyNzIifQ=="/>
  </w:docVars>
  <w:rsids>
    <w:rsidRoot w:val="00FA61E3"/>
    <w:rsid w:val="001128AD"/>
    <w:rsid w:val="0032056A"/>
    <w:rsid w:val="00550A28"/>
    <w:rsid w:val="006815C5"/>
    <w:rsid w:val="00696394"/>
    <w:rsid w:val="007D569A"/>
    <w:rsid w:val="009E1EC7"/>
    <w:rsid w:val="00AE246D"/>
    <w:rsid w:val="00B217E8"/>
    <w:rsid w:val="00B31EB0"/>
    <w:rsid w:val="00C337C4"/>
    <w:rsid w:val="00FA61E3"/>
    <w:rsid w:val="361C6E02"/>
    <w:rsid w:val="37F73EF9"/>
    <w:rsid w:val="72F3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basedOn w:val="8"/>
    <w:qFormat/>
    <w:uiPriority w:val="0"/>
    <w:rPr>
      <w:b/>
      <w:bCs/>
    </w:rPr>
  </w:style>
  <w:style w:type="character" w:customStyle="1" w:styleId="10">
    <w:name w:val="页眉 字符"/>
    <w:basedOn w:val="8"/>
    <w:link w:val="6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8"/>
    <w:link w:val="5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4579</Words>
  <Characters>5064</Characters>
  <Lines>5</Lines>
  <Paragraphs>1</Paragraphs>
  <TotalTime>1</TotalTime>
  <ScaleCrop>false</ScaleCrop>
  <LinksUpToDate>false</LinksUpToDate>
  <CharactersWithSpaces>5131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2019-10-11T02:37:00Z</dcterms:created>
  <dc:creator>Administrator</dc:creator>
  <cp:lastModifiedBy>雨。</cp:lastModifiedBy>
  <dcterms:modified xsi:type="dcterms:W3CDTF">2024-10-15T13:30:26Z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2194F0AA84E04C1F886D5BBF6A46F03F_12</vt:lpwstr>
  </property>
</Properties>
</file>